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73" w:rsidRDefault="00E31A73">
      <w:pPr>
        <w:pStyle w:val="a3"/>
        <w:rPr>
          <w:sz w:val="7"/>
        </w:rPr>
      </w:pPr>
    </w:p>
    <w:tbl>
      <w:tblPr>
        <w:tblStyle w:val="TableNormal"/>
        <w:tblpPr w:leftFromText="180" w:rightFromText="180" w:vertAnchor="text" w:tblpX="115" w:tblpY="1"/>
        <w:tblOverlap w:val="neve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
        <w:gridCol w:w="4234"/>
        <w:gridCol w:w="6285"/>
      </w:tblGrid>
      <w:tr w:rsidR="00E31A73" w:rsidTr="00E67D44">
        <w:trPr>
          <w:trHeight w:val="1040"/>
        </w:trPr>
        <w:tc>
          <w:tcPr>
            <w:tcW w:w="10920" w:type="dxa"/>
            <w:gridSpan w:val="3"/>
          </w:tcPr>
          <w:p w:rsidR="00E31A73" w:rsidRPr="00EE29F3" w:rsidRDefault="00645EF6" w:rsidP="00A84966">
            <w:pPr>
              <w:pStyle w:val="TableParagraph"/>
              <w:spacing w:before="1" w:line="368" w:lineRule="exact"/>
              <w:ind w:left="269" w:right="269"/>
              <w:jc w:val="center"/>
              <w:rPr>
                <w:sz w:val="28"/>
                <w:szCs w:val="28"/>
              </w:rPr>
            </w:pPr>
            <w:r w:rsidRPr="00EE29F3">
              <w:rPr>
                <w:sz w:val="28"/>
                <w:szCs w:val="28"/>
              </w:rPr>
              <w:t>Обґрунтування технічних та якісних характеристик</w:t>
            </w:r>
          </w:p>
          <w:p w:rsidR="00E31A73" w:rsidRPr="00EE29F3" w:rsidRDefault="00645EF6" w:rsidP="00A84966">
            <w:pPr>
              <w:pStyle w:val="TableParagraph"/>
              <w:ind w:left="269" w:right="269"/>
              <w:jc w:val="center"/>
              <w:rPr>
                <w:b/>
                <w:sz w:val="28"/>
                <w:szCs w:val="28"/>
              </w:rPr>
            </w:pPr>
            <w:r w:rsidRPr="00EE29F3">
              <w:rPr>
                <w:sz w:val="28"/>
                <w:szCs w:val="28"/>
              </w:rPr>
              <w:t>предмета закупівлі, розміру бюджетного призначення, очікуваної вартості предмета закупівлі</w:t>
            </w:r>
          </w:p>
        </w:tc>
      </w:tr>
      <w:tr w:rsidR="00E31A73" w:rsidRPr="00EE29F3" w:rsidTr="00712485">
        <w:trPr>
          <w:trHeight w:val="927"/>
        </w:trPr>
        <w:tc>
          <w:tcPr>
            <w:tcW w:w="401" w:type="dxa"/>
          </w:tcPr>
          <w:p w:rsidR="00E31A73" w:rsidRPr="00EE29F3" w:rsidRDefault="00645EF6" w:rsidP="00A84966">
            <w:pPr>
              <w:pStyle w:val="TableParagraph"/>
              <w:spacing w:line="320" w:lineRule="exact"/>
              <w:ind w:left="107"/>
              <w:rPr>
                <w:sz w:val="24"/>
                <w:szCs w:val="24"/>
              </w:rPr>
            </w:pPr>
            <w:r w:rsidRPr="00EE29F3">
              <w:rPr>
                <w:sz w:val="24"/>
                <w:szCs w:val="24"/>
              </w:rPr>
              <w:t>1</w:t>
            </w:r>
          </w:p>
        </w:tc>
        <w:tc>
          <w:tcPr>
            <w:tcW w:w="4234" w:type="dxa"/>
          </w:tcPr>
          <w:p w:rsidR="00E31A73" w:rsidRPr="00EE29F3" w:rsidRDefault="00645EF6" w:rsidP="00A84966">
            <w:pPr>
              <w:pStyle w:val="TableParagraph"/>
              <w:ind w:left="108" w:right="839"/>
              <w:rPr>
                <w:sz w:val="28"/>
                <w:szCs w:val="28"/>
              </w:rPr>
            </w:pPr>
            <w:r w:rsidRPr="00EE29F3">
              <w:rPr>
                <w:sz w:val="28"/>
                <w:szCs w:val="28"/>
              </w:rPr>
              <w:t>Назва предмета закупівлі та очікувана вартість</w:t>
            </w:r>
          </w:p>
        </w:tc>
        <w:tc>
          <w:tcPr>
            <w:tcW w:w="6285" w:type="dxa"/>
          </w:tcPr>
          <w:p w:rsidR="00712485" w:rsidRPr="00D65C77" w:rsidRDefault="00E67D44" w:rsidP="00712485">
            <w:pPr>
              <w:rPr>
                <w:b/>
                <w:bCs/>
                <w:iCs/>
                <w:sz w:val="28"/>
                <w:szCs w:val="28"/>
              </w:rPr>
            </w:pPr>
            <w:r w:rsidRPr="00712485">
              <w:rPr>
                <w:b/>
                <w:sz w:val="20"/>
                <w:szCs w:val="20"/>
                <w:u w:val="single"/>
              </w:rPr>
              <w:t xml:space="preserve">код ДК 021:2015 – 72410000-7 – </w:t>
            </w:r>
            <w:r w:rsidR="00712485" w:rsidRPr="00712485">
              <w:rPr>
                <w:b/>
                <w:bCs/>
                <w:iCs/>
                <w:sz w:val="20"/>
                <w:szCs w:val="20"/>
                <w:lang w:bidi="uk-UA"/>
              </w:rPr>
              <w:t xml:space="preserve"> Послуги провайдерів підключення та користування мережею Інтернет (ДПІ ГУ ДПС у Львівській області</w:t>
            </w:r>
            <w:r w:rsidR="00712485" w:rsidRPr="00D65C77">
              <w:rPr>
                <w:b/>
                <w:bCs/>
                <w:iCs/>
                <w:sz w:val="28"/>
                <w:szCs w:val="28"/>
                <w:lang w:bidi="uk-UA"/>
              </w:rPr>
              <w:t>)</w:t>
            </w:r>
          </w:p>
          <w:p w:rsidR="00BD734A" w:rsidRPr="00E67D44" w:rsidRDefault="00BD734A" w:rsidP="00FB2856">
            <w:pPr>
              <w:pStyle w:val="TableParagraph"/>
              <w:rPr>
                <w:b/>
                <w:sz w:val="24"/>
                <w:szCs w:val="24"/>
              </w:rPr>
            </w:pPr>
          </w:p>
        </w:tc>
      </w:tr>
      <w:tr w:rsidR="00E31A73" w:rsidTr="009C45C1">
        <w:trPr>
          <w:trHeight w:val="10197"/>
        </w:trPr>
        <w:tc>
          <w:tcPr>
            <w:tcW w:w="401" w:type="dxa"/>
          </w:tcPr>
          <w:p w:rsidR="00E31A73" w:rsidRPr="00EE29F3" w:rsidRDefault="00645EF6" w:rsidP="00A84966">
            <w:pPr>
              <w:pStyle w:val="TableParagraph"/>
              <w:ind w:left="107"/>
              <w:rPr>
                <w:sz w:val="24"/>
                <w:szCs w:val="24"/>
              </w:rPr>
            </w:pPr>
            <w:r w:rsidRPr="00EE29F3">
              <w:rPr>
                <w:sz w:val="24"/>
                <w:szCs w:val="24"/>
              </w:rPr>
              <w:t>2</w:t>
            </w:r>
          </w:p>
        </w:tc>
        <w:tc>
          <w:tcPr>
            <w:tcW w:w="4234" w:type="dxa"/>
          </w:tcPr>
          <w:p w:rsidR="00E31A73" w:rsidRPr="00EE29F3" w:rsidRDefault="00645EF6" w:rsidP="00A84966">
            <w:pPr>
              <w:pStyle w:val="TableParagraph"/>
              <w:ind w:left="108" w:right="450"/>
              <w:rPr>
                <w:sz w:val="24"/>
                <w:szCs w:val="24"/>
              </w:rPr>
            </w:pPr>
            <w:r w:rsidRPr="00EE29F3">
              <w:rPr>
                <w:sz w:val="24"/>
                <w:szCs w:val="24"/>
              </w:rPr>
              <w:t>Обґрунтування технічних та якісних характеристик предмета закупівлі</w:t>
            </w:r>
          </w:p>
        </w:tc>
        <w:tc>
          <w:tcPr>
            <w:tcW w:w="6285" w:type="dxa"/>
          </w:tcPr>
          <w:tbl>
            <w:tblPr>
              <w:tblpPr w:leftFromText="180" w:rightFromText="180" w:bottomFromText="200" w:vertAnchor="text" w:horzAnchor="margin" w:tblpXSpec="center" w:tblpY="181"/>
              <w:tblW w:w="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134"/>
              <w:gridCol w:w="993"/>
              <w:gridCol w:w="992"/>
              <w:gridCol w:w="992"/>
              <w:gridCol w:w="850"/>
            </w:tblGrid>
            <w:tr w:rsidR="00712485" w:rsidRPr="00C422CE" w:rsidTr="00712485">
              <w:trPr>
                <w:trHeight w:val="411"/>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b/>
                      <w:sz w:val="12"/>
                      <w:szCs w:val="12"/>
                    </w:rPr>
                  </w:pPr>
                  <w:r w:rsidRPr="00712485">
                    <w:rPr>
                      <w:b/>
                      <w:sz w:val="12"/>
                      <w:szCs w:val="12"/>
                    </w:rPr>
                    <w:t>№ з/п</w:t>
                  </w:r>
                </w:p>
              </w:tc>
              <w:tc>
                <w:tcPr>
                  <w:tcW w:w="1134" w:type="dxa"/>
                  <w:tcBorders>
                    <w:top w:val="single" w:sz="4" w:space="0" w:color="auto"/>
                    <w:left w:val="single" w:sz="4" w:space="0" w:color="auto"/>
                    <w:bottom w:val="single" w:sz="4" w:space="0" w:color="auto"/>
                    <w:right w:val="single" w:sz="4" w:space="0" w:color="auto"/>
                  </w:tcBorders>
                  <w:noWrap/>
                </w:tcPr>
                <w:p w:rsidR="00712485" w:rsidRPr="00712485" w:rsidRDefault="00712485" w:rsidP="00712485">
                  <w:pPr>
                    <w:rPr>
                      <w:b/>
                      <w:sz w:val="12"/>
                      <w:szCs w:val="12"/>
                    </w:rPr>
                  </w:pPr>
                  <w:r w:rsidRPr="00712485">
                    <w:rPr>
                      <w:b/>
                      <w:sz w:val="12"/>
                      <w:szCs w:val="12"/>
                    </w:rPr>
                    <w:t>Адреса точки підключення</w:t>
                  </w:r>
                </w:p>
                <w:p w:rsidR="00712485" w:rsidRPr="00712485" w:rsidRDefault="00712485" w:rsidP="00712485">
                  <w:pPr>
                    <w:rPr>
                      <w:b/>
                      <w:sz w:val="12"/>
                      <w:szCs w:val="12"/>
                    </w:rPr>
                  </w:pP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b/>
                      <w:sz w:val="12"/>
                      <w:szCs w:val="12"/>
                    </w:rPr>
                  </w:pPr>
                  <w:r w:rsidRPr="00712485">
                    <w:rPr>
                      <w:b/>
                      <w:sz w:val="12"/>
                      <w:szCs w:val="12"/>
                    </w:rPr>
                    <w:t>Тип підключення</w:t>
                  </w:r>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b/>
                      <w:sz w:val="16"/>
                      <w:szCs w:val="16"/>
                    </w:rPr>
                  </w:pPr>
                  <w:r w:rsidRPr="00712485">
                    <w:rPr>
                      <w:b/>
                      <w:sz w:val="16"/>
                      <w:szCs w:val="16"/>
                    </w:rPr>
                    <w:t xml:space="preserve">Пропускна здатність,  </w:t>
                  </w:r>
                  <w:proofErr w:type="spellStart"/>
                  <w:r w:rsidRPr="00712485">
                    <w:rPr>
                      <w:b/>
                      <w:sz w:val="16"/>
                      <w:szCs w:val="16"/>
                    </w:rPr>
                    <w:t>Мбіт</w:t>
                  </w:r>
                  <w:proofErr w:type="spellEnd"/>
                  <w:r w:rsidRPr="00712485">
                    <w:rPr>
                      <w:b/>
                      <w:sz w:val="16"/>
                      <w:szCs w:val="16"/>
                    </w:rPr>
                    <w:t>/с</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b/>
                      <w:sz w:val="16"/>
                      <w:szCs w:val="16"/>
                    </w:rPr>
                  </w:pPr>
                  <w:r w:rsidRPr="00712485">
                    <w:rPr>
                      <w:b/>
                      <w:sz w:val="16"/>
                      <w:szCs w:val="16"/>
                    </w:rPr>
                    <w:t>Обладнання доступу Виконавця (так/ні)</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b/>
                      <w:sz w:val="16"/>
                      <w:szCs w:val="16"/>
                    </w:rPr>
                  </w:pPr>
                  <w:r w:rsidRPr="00712485">
                    <w:rPr>
                      <w:b/>
                      <w:sz w:val="16"/>
                      <w:szCs w:val="16"/>
                    </w:rPr>
                    <w:t>Статична</w:t>
                  </w:r>
                </w:p>
                <w:p w:rsidR="00712485" w:rsidRPr="00712485" w:rsidRDefault="00712485" w:rsidP="00712485">
                  <w:pPr>
                    <w:jc w:val="center"/>
                    <w:rPr>
                      <w:b/>
                      <w:sz w:val="16"/>
                      <w:szCs w:val="16"/>
                    </w:rPr>
                  </w:pPr>
                  <w:proofErr w:type="spellStart"/>
                  <w:r w:rsidRPr="00712485">
                    <w:rPr>
                      <w:b/>
                      <w:sz w:val="16"/>
                      <w:szCs w:val="16"/>
                    </w:rPr>
                    <w:t>ІР-адреса</w:t>
                  </w:r>
                  <w:proofErr w:type="spellEnd"/>
                </w:p>
                <w:p w:rsidR="00712485" w:rsidRPr="00712485" w:rsidRDefault="00712485" w:rsidP="00712485">
                  <w:pPr>
                    <w:jc w:val="center"/>
                    <w:rPr>
                      <w:sz w:val="16"/>
                      <w:szCs w:val="16"/>
                    </w:rPr>
                  </w:pPr>
                  <w:r w:rsidRPr="00712485">
                    <w:rPr>
                      <w:b/>
                      <w:sz w:val="16"/>
                      <w:szCs w:val="16"/>
                    </w:rPr>
                    <w:t>(так/ні)</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82300, м. Борислав,</w:t>
                  </w:r>
                  <w:r w:rsidRPr="00712485">
                    <w:rPr>
                      <w:sz w:val="12"/>
                      <w:szCs w:val="12"/>
                    </w:rPr>
                    <w:br/>
                  </w:r>
                  <w:proofErr w:type="spellStart"/>
                  <w:r w:rsidRPr="00712485">
                    <w:rPr>
                      <w:sz w:val="12"/>
                      <w:szCs w:val="12"/>
                    </w:rPr>
                    <w:t>вул.Карпатська</w:t>
                  </w:r>
                  <w:proofErr w:type="spellEnd"/>
                  <w:r w:rsidRPr="00712485">
                    <w:rPr>
                      <w:sz w:val="12"/>
                      <w:szCs w:val="12"/>
                    </w:rPr>
                    <w:t xml:space="preserve"> брама,14</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2</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82100, м. Дрогобич, </w:t>
                  </w:r>
                  <w:r w:rsidRPr="00712485">
                    <w:rPr>
                      <w:sz w:val="12"/>
                      <w:szCs w:val="12"/>
                    </w:rPr>
                    <w:br/>
                  </w:r>
                  <w:proofErr w:type="spellStart"/>
                  <w:r w:rsidRPr="00712485">
                    <w:rPr>
                      <w:sz w:val="12"/>
                      <w:szCs w:val="12"/>
                    </w:rPr>
                    <w:t>вул.Шевченка</w:t>
                  </w:r>
                  <w:proofErr w:type="spellEnd"/>
                  <w:r w:rsidRPr="00712485">
                    <w:rPr>
                      <w:sz w:val="12"/>
                      <w:szCs w:val="12"/>
                    </w:rPr>
                    <w:t>, 9</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3</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81400, м. Самбір, </w:t>
                  </w:r>
                  <w:proofErr w:type="spellStart"/>
                  <w:r w:rsidRPr="00712485">
                    <w:rPr>
                      <w:sz w:val="12"/>
                      <w:szCs w:val="12"/>
                    </w:rPr>
                    <w:t>вул.Чорновола</w:t>
                  </w:r>
                  <w:proofErr w:type="spellEnd"/>
                  <w:r w:rsidRPr="00712485">
                    <w:rPr>
                      <w:sz w:val="12"/>
                      <w:szCs w:val="12"/>
                    </w:rPr>
                    <w:t>, 2А</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4</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82400, м. Стрий,</w:t>
                  </w:r>
                  <w:r w:rsidRPr="00712485">
                    <w:rPr>
                      <w:sz w:val="12"/>
                      <w:szCs w:val="12"/>
                    </w:rPr>
                    <w:br/>
                  </w:r>
                  <w:proofErr w:type="spellStart"/>
                  <w:r w:rsidRPr="00712485">
                    <w:rPr>
                      <w:sz w:val="12"/>
                      <w:szCs w:val="12"/>
                    </w:rPr>
                    <w:t>вул.Сколівська</w:t>
                  </w:r>
                  <w:proofErr w:type="spellEnd"/>
                  <w:r w:rsidRPr="00712485">
                    <w:rPr>
                      <w:sz w:val="12"/>
                      <w:szCs w:val="12"/>
                    </w:rPr>
                    <w:t>, 7</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5</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82200, м. Трускавець, </w:t>
                  </w:r>
                  <w:r w:rsidRPr="00712485">
                    <w:rPr>
                      <w:sz w:val="12"/>
                      <w:szCs w:val="12"/>
                    </w:rPr>
                    <w:br/>
                  </w:r>
                  <w:proofErr w:type="spellStart"/>
                  <w:r w:rsidRPr="00712485">
                    <w:rPr>
                      <w:sz w:val="12"/>
                      <w:szCs w:val="12"/>
                    </w:rPr>
                    <w:t>пл.Чорновола</w:t>
                  </w:r>
                  <w:proofErr w:type="spellEnd"/>
                  <w:r w:rsidRPr="00712485">
                    <w:rPr>
                      <w:sz w:val="12"/>
                      <w:szCs w:val="12"/>
                    </w:rPr>
                    <w:t>, 2</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6</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80100, м. Червоноград, </w:t>
                  </w:r>
                  <w:r w:rsidRPr="00712485">
                    <w:rPr>
                      <w:sz w:val="12"/>
                      <w:szCs w:val="12"/>
                    </w:rPr>
                    <w:br/>
                  </w:r>
                  <w:proofErr w:type="spellStart"/>
                  <w:r w:rsidRPr="00712485">
                    <w:rPr>
                      <w:sz w:val="12"/>
                      <w:szCs w:val="12"/>
                    </w:rPr>
                    <w:t>пл.Cоборна</w:t>
                  </w:r>
                  <w:proofErr w:type="spellEnd"/>
                  <w:r w:rsidRPr="00712485">
                    <w:rPr>
                      <w:sz w:val="12"/>
                      <w:szCs w:val="12"/>
                    </w:rPr>
                    <w:t>, 3</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7</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80600, м. Броди, </w:t>
                  </w:r>
                  <w:r w:rsidRPr="00712485">
                    <w:rPr>
                      <w:sz w:val="12"/>
                      <w:szCs w:val="12"/>
                    </w:rPr>
                    <w:br/>
                    <w:t>вул. Залізнична 21</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8</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81500, м. Городок,</w:t>
                  </w:r>
                  <w:r w:rsidRPr="00712485">
                    <w:rPr>
                      <w:sz w:val="12"/>
                      <w:szCs w:val="12"/>
                    </w:rPr>
                    <w:br/>
                  </w:r>
                  <w:proofErr w:type="spellStart"/>
                  <w:r w:rsidRPr="00712485">
                    <w:rPr>
                      <w:sz w:val="12"/>
                      <w:szCs w:val="12"/>
                    </w:rPr>
                    <w:t>м-н</w:t>
                  </w:r>
                  <w:proofErr w:type="spellEnd"/>
                  <w:r w:rsidRPr="00712485">
                    <w:rPr>
                      <w:sz w:val="12"/>
                      <w:szCs w:val="12"/>
                    </w:rPr>
                    <w:t xml:space="preserve"> Гайдамаків, 24</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9</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81700, м. Жидачів, </w:t>
                  </w:r>
                  <w:r w:rsidRPr="00712485">
                    <w:rPr>
                      <w:sz w:val="12"/>
                      <w:szCs w:val="12"/>
                    </w:rPr>
                    <w:br/>
                    <w:t>вул. Вокзальна, 6</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10</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80700, м. Золочів, </w:t>
                  </w:r>
                  <w:r w:rsidRPr="00712485">
                    <w:rPr>
                      <w:sz w:val="12"/>
                      <w:szCs w:val="12"/>
                    </w:rPr>
                    <w:br/>
                  </w:r>
                  <w:proofErr w:type="spellStart"/>
                  <w:r w:rsidRPr="00712485">
                    <w:rPr>
                      <w:sz w:val="12"/>
                      <w:szCs w:val="12"/>
                    </w:rPr>
                    <w:t>вул.БорисаВозницького</w:t>
                  </w:r>
                  <w:proofErr w:type="spellEnd"/>
                  <w:r w:rsidRPr="00712485">
                    <w:rPr>
                      <w:sz w:val="12"/>
                      <w:szCs w:val="12"/>
                    </w:rPr>
                    <w:t xml:space="preserve"> Героя України, 1</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11</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80400, м. </w:t>
                  </w:r>
                  <w:proofErr w:type="spellStart"/>
                  <w:r w:rsidRPr="00712485">
                    <w:rPr>
                      <w:sz w:val="12"/>
                      <w:szCs w:val="12"/>
                    </w:rPr>
                    <w:t>Кам'янка-Бузька</w:t>
                  </w:r>
                  <w:proofErr w:type="spellEnd"/>
                  <w:r w:rsidRPr="00712485">
                    <w:rPr>
                      <w:sz w:val="12"/>
                      <w:szCs w:val="12"/>
                    </w:rPr>
                    <w:t xml:space="preserve">, </w:t>
                  </w:r>
                  <w:proofErr w:type="spellStart"/>
                  <w:r w:rsidRPr="00712485">
                    <w:rPr>
                      <w:sz w:val="12"/>
                      <w:szCs w:val="12"/>
                    </w:rPr>
                    <w:t>вул.Незалежності</w:t>
                  </w:r>
                  <w:proofErr w:type="spellEnd"/>
                  <w:r w:rsidRPr="00712485">
                    <w:rPr>
                      <w:sz w:val="12"/>
                      <w:szCs w:val="12"/>
                    </w:rPr>
                    <w:t xml:space="preserve"> 18</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12</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81600, м. Миколаїв,</w:t>
                  </w:r>
                  <w:r w:rsidRPr="00712485">
                    <w:rPr>
                      <w:sz w:val="12"/>
                      <w:szCs w:val="12"/>
                    </w:rPr>
                    <w:br/>
                    <w:t>бульвар Проектний, 3</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13</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81300, м. </w:t>
                  </w:r>
                  <w:proofErr w:type="spellStart"/>
                  <w:r w:rsidRPr="00712485">
                    <w:rPr>
                      <w:sz w:val="12"/>
                      <w:szCs w:val="12"/>
                    </w:rPr>
                    <w:t>Мостиська</w:t>
                  </w:r>
                  <w:proofErr w:type="spellEnd"/>
                  <w:r w:rsidRPr="00712485">
                    <w:rPr>
                      <w:sz w:val="12"/>
                      <w:szCs w:val="12"/>
                    </w:rPr>
                    <w:t xml:space="preserve">, </w:t>
                  </w:r>
                  <w:r w:rsidRPr="00712485">
                    <w:rPr>
                      <w:sz w:val="12"/>
                      <w:szCs w:val="12"/>
                    </w:rPr>
                    <w:br/>
                  </w:r>
                  <w:proofErr w:type="spellStart"/>
                  <w:r w:rsidRPr="00712485">
                    <w:rPr>
                      <w:sz w:val="12"/>
                      <w:szCs w:val="12"/>
                    </w:rPr>
                    <w:t>вул.Шевченка</w:t>
                  </w:r>
                  <w:proofErr w:type="spellEnd"/>
                  <w:r w:rsidRPr="00712485">
                    <w:rPr>
                      <w:sz w:val="12"/>
                      <w:szCs w:val="12"/>
                    </w:rPr>
                    <w:t>, 15</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14</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80300, м. </w:t>
                  </w:r>
                  <w:proofErr w:type="spellStart"/>
                  <w:r w:rsidRPr="00712485">
                    <w:rPr>
                      <w:sz w:val="12"/>
                      <w:szCs w:val="12"/>
                    </w:rPr>
                    <w:t>Жовква</w:t>
                  </w:r>
                  <w:proofErr w:type="spellEnd"/>
                  <w:r w:rsidRPr="00712485">
                    <w:rPr>
                      <w:sz w:val="12"/>
                      <w:szCs w:val="12"/>
                    </w:rPr>
                    <w:t>,</w:t>
                  </w:r>
                  <w:r w:rsidRPr="00712485">
                    <w:rPr>
                      <w:sz w:val="12"/>
                      <w:szCs w:val="12"/>
                    </w:rPr>
                    <w:br/>
                    <w:t>вул. Святої Трійці, 10</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15</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81200, м. </w:t>
                  </w:r>
                  <w:proofErr w:type="spellStart"/>
                  <w:r w:rsidRPr="00712485">
                    <w:rPr>
                      <w:sz w:val="12"/>
                      <w:szCs w:val="12"/>
                    </w:rPr>
                    <w:t>Перемишляни</w:t>
                  </w:r>
                  <w:proofErr w:type="spellEnd"/>
                  <w:r w:rsidRPr="00712485">
                    <w:rPr>
                      <w:sz w:val="12"/>
                      <w:szCs w:val="12"/>
                    </w:rPr>
                    <w:t>,</w:t>
                  </w:r>
                  <w:r w:rsidRPr="00712485">
                    <w:rPr>
                      <w:sz w:val="12"/>
                      <w:szCs w:val="12"/>
                    </w:rPr>
                    <w:br/>
                  </w:r>
                  <w:proofErr w:type="spellStart"/>
                  <w:r w:rsidRPr="00712485">
                    <w:rPr>
                      <w:sz w:val="12"/>
                      <w:szCs w:val="12"/>
                    </w:rPr>
                    <w:t>вул.Галицька</w:t>
                  </w:r>
                  <w:proofErr w:type="spellEnd"/>
                  <w:r w:rsidRPr="00712485">
                    <w:rPr>
                      <w:sz w:val="12"/>
                      <w:szCs w:val="12"/>
                    </w:rPr>
                    <w:t>, 26а</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16</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81100, м. </w:t>
                  </w:r>
                  <w:proofErr w:type="spellStart"/>
                  <w:r w:rsidRPr="00712485">
                    <w:rPr>
                      <w:sz w:val="12"/>
                      <w:szCs w:val="12"/>
                    </w:rPr>
                    <w:t>Пустомити</w:t>
                  </w:r>
                  <w:proofErr w:type="spellEnd"/>
                  <w:r w:rsidRPr="00712485">
                    <w:rPr>
                      <w:sz w:val="12"/>
                      <w:szCs w:val="12"/>
                    </w:rPr>
                    <w:t xml:space="preserve">, </w:t>
                  </w:r>
                  <w:r w:rsidRPr="00712485">
                    <w:rPr>
                      <w:sz w:val="12"/>
                      <w:szCs w:val="12"/>
                    </w:rPr>
                    <w:br/>
                    <w:t xml:space="preserve">вул. </w:t>
                  </w:r>
                  <w:proofErr w:type="spellStart"/>
                  <w:r w:rsidRPr="00712485">
                    <w:rPr>
                      <w:sz w:val="12"/>
                      <w:szCs w:val="12"/>
                    </w:rPr>
                    <w:t>Радоцинська</w:t>
                  </w:r>
                  <w:proofErr w:type="spellEnd"/>
                  <w:r w:rsidRPr="00712485">
                    <w:rPr>
                      <w:sz w:val="12"/>
                      <w:szCs w:val="12"/>
                    </w:rPr>
                    <w:t>, 1</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rPr>
                  </w:pPr>
                  <w:r w:rsidRPr="00712485">
                    <w:rPr>
                      <w:sz w:val="16"/>
                      <w:szCs w:val="16"/>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17</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80200, м. </w:t>
                  </w:r>
                  <w:proofErr w:type="spellStart"/>
                  <w:r w:rsidRPr="00712485">
                    <w:rPr>
                      <w:sz w:val="12"/>
                      <w:szCs w:val="12"/>
                    </w:rPr>
                    <w:t>Радехів</w:t>
                  </w:r>
                  <w:proofErr w:type="spellEnd"/>
                  <w:r w:rsidRPr="00712485">
                    <w:rPr>
                      <w:sz w:val="12"/>
                      <w:szCs w:val="12"/>
                    </w:rPr>
                    <w:t>,</w:t>
                  </w:r>
                  <w:r w:rsidRPr="00712485">
                    <w:rPr>
                      <w:sz w:val="12"/>
                      <w:szCs w:val="12"/>
                    </w:rPr>
                    <w:br/>
                  </w:r>
                  <w:proofErr w:type="spellStart"/>
                  <w:r w:rsidRPr="00712485">
                    <w:rPr>
                      <w:sz w:val="12"/>
                      <w:szCs w:val="12"/>
                    </w:rPr>
                    <w:t>пр-т</w:t>
                  </w:r>
                  <w:proofErr w:type="spellEnd"/>
                  <w:r w:rsidRPr="00712485">
                    <w:rPr>
                      <w:sz w:val="12"/>
                      <w:szCs w:val="12"/>
                    </w:rPr>
                    <w:t xml:space="preserve"> Відродження 8</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18</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82600, м. Сколе, </w:t>
                  </w:r>
                  <w:r w:rsidRPr="00712485">
                    <w:rPr>
                      <w:sz w:val="12"/>
                      <w:szCs w:val="12"/>
                    </w:rPr>
                    <w:br/>
                    <w:t xml:space="preserve">вул. </w:t>
                  </w:r>
                  <w:proofErr w:type="spellStart"/>
                  <w:r w:rsidRPr="00712485">
                    <w:rPr>
                      <w:sz w:val="12"/>
                      <w:szCs w:val="12"/>
                    </w:rPr>
                    <w:t>Кн.Святослава</w:t>
                  </w:r>
                  <w:proofErr w:type="spellEnd"/>
                  <w:r w:rsidRPr="00712485">
                    <w:rPr>
                      <w:sz w:val="12"/>
                      <w:szCs w:val="12"/>
                    </w:rPr>
                    <w:t>, 5А</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19</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80000, м. </w:t>
                  </w:r>
                  <w:proofErr w:type="spellStart"/>
                  <w:r w:rsidRPr="00712485">
                    <w:rPr>
                      <w:sz w:val="12"/>
                      <w:szCs w:val="12"/>
                    </w:rPr>
                    <w:t>Сокаль</w:t>
                  </w:r>
                  <w:proofErr w:type="spellEnd"/>
                  <w:r w:rsidRPr="00712485">
                    <w:rPr>
                      <w:sz w:val="12"/>
                      <w:szCs w:val="12"/>
                    </w:rPr>
                    <w:t xml:space="preserve">, </w:t>
                  </w:r>
                  <w:r w:rsidRPr="00712485">
                    <w:rPr>
                      <w:sz w:val="12"/>
                      <w:szCs w:val="12"/>
                    </w:rPr>
                    <w:br/>
                    <w:t>вул. Шептицького, 40</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20</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82000, м. Старий Самбір, площа Ринок,10</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21</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82500, м. Турка, </w:t>
                  </w:r>
                  <w:r w:rsidRPr="00712485">
                    <w:rPr>
                      <w:sz w:val="12"/>
                      <w:szCs w:val="12"/>
                    </w:rPr>
                    <w:br/>
                    <w:t>площа Ринок, 24</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70"/>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22</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81000, м. Яворів, </w:t>
                  </w:r>
                  <w:r w:rsidRPr="00712485">
                    <w:rPr>
                      <w:sz w:val="12"/>
                      <w:szCs w:val="12"/>
                    </w:rPr>
                    <w:br/>
                  </w:r>
                  <w:proofErr w:type="spellStart"/>
                  <w:r w:rsidRPr="00712485">
                    <w:rPr>
                      <w:sz w:val="12"/>
                      <w:szCs w:val="12"/>
                    </w:rPr>
                    <w:t>вул.Львівська</w:t>
                  </w:r>
                  <w:proofErr w:type="spellEnd"/>
                  <w:r w:rsidRPr="00712485">
                    <w:rPr>
                      <w:sz w:val="12"/>
                      <w:szCs w:val="12"/>
                    </w:rPr>
                    <w:t>, 42</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r w:rsidR="00712485" w:rsidRPr="00C422CE" w:rsidTr="00712485">
              <w:trPr>
                <w:trHeight w:val="201"/>
              </w:trPr>
              <w:tc>
                <w:tcPr>
                  <w:tcW w:w="56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2"/>
                      <w:szCs w:val="12"/>
                    </w:rPr>
                  </w:pPr>
                  <w:r w:rsidRPr="00712485">
                    <w:rPr>
                      <w:sz w:val="12"/>
                      <w:szCs w:val="12"/>
                    </w:rPr>
                    <w:t>23</w:t>
                  </w:r>
                </w:p>
              </w:tc>
              <w:tc>
                <w:tcPr>
                  <w:tcW w:w="1134" w:type="dxa"/>
                  <w:tcBorders>
                    <w:top w:val="single" w:sz="4" w:space="0" w:color="auto"/>
                    <w:left w:val="single" w:sz="4" w:space="0" w:color="auto"/>
                    <w:bottom w:val="single" w:sz="4" w:space="0" w:color="auto"/>
                    <w:right w:val="single" w:sz="4" w:space="0" w:color="auto"/>
                  </w:tcBorders>
                  <w:noWrap/>
                  <w:hideMark/>
                </w:tcPr>
                <w:p w:rsidR="00712485" w:rsidRPr="00712485" w:rsidRDefault="00712485" w:rsidP="00712485">
                  <w:pPr>
                    <w:rPr>
                      <w:sz w:val="12"/>
                      <w:szCs w:val="12"/>
                    </w:rPr>
                  </w:pPr>
                  <w:r w:rsidRPr="00712485">
                    <w:rPr>
                      <w:sz w:val="12"/>
                      <w:szCs w:val="12"/>
                    </w:rPr>
                    <w:t xml:space="preserve">80500, </w:t>
                  </w:r>
                  <w:proofErr w:type="spellStart"/>
                  <w:r w:rsidRPr="00712485">
                    <w:rPr>
                      <w:sz w:val="12"/>
                      <w:szCs w:val="12"/>
                    </w:rPr>
                    <w:t>м.Буськ</w:t>
                  </w:r>
                  <w:proofErr w:type="spellEnd"/>
                  <w:r w:rsidRPr="00712485">
                    <w:rPr>
                      <w:sz w:val="12"/>
                      <w:szCs w:val="12"/>
                    </w:rPr>
                    <w:t xml:space="preserve">, </w:t>
                  </w:r>
                  <w:r w:rsidRPr="00712485">
                    <w:rPr>
                      <w:sz w:val="12"/>
                      <w:szCs w:val="12"/>
                    </w:rPr>
                    <w:br/>
                    <w:t xml:space="preserve">площа 900-річчя </w:t>
                  </w:r>
                  <w:proofErr w:type="spellStart"/>
                  <w:r w:rsidRPr="00712485">
                    <w:rPr>
                      <w:sz w:val="12"/>
                      <w:szCs w:val="12"/>
                    </w:rPr>
                    <w:t>Буська</w:t>
                  </w:r>
                  <w:proofErr w:type="spellEnd"/>
                  <w:r w:rsidRPr="00712485">
                    <w:rPr>
                      <w:sz w:val="12"/>
                      <w:szCs w:val="12"/>
                    </w:rPr>
                    <w:t>,1</w:t>
                  </w:r>
                </w:p>
              </w:tc>
              <w:tc>
                <w:tcPr>
                  <w:tcW w:w="993"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rPr>
                      <w:sz w:val="12"/>
                      <w:szCs w:val="12"/>
                    </w:rPr>
                  </w:pPr>
                  <w:r w:rsidRPr="00712485">
                    <w:rPr>
                      <w:sz w:val="12"/>
                      <w:szCs w:val="12"/>
                    </w:rPr>
                    <w:t xml:space="preserve">FTTB (ETTH), </w:t>
                  </w:r>
                  <w:proofErr w:type="spellStart"/>
                  <w:r w:rsidRPr="00712485">
                    <w:rPr>
                      <w:sz w:val="12"/>
                      <w:szCs w:val="12"/>
                    </w:rPr>
                    <w:t>xPON</w:t>
                  </w:r>
                  <w:proofErr w:type="spellEnd"/>
                </w:p>
              </w:tc>
              <w:tc>
                <w:tcPr>
                  <w:tcW w:w="992" w:type="dxa"/>
                  <w:tcBorders>
                    <w:top w:val="single" w:sz="4" w:space="0" w:color="auto"/>
                    <w:left w:val="single" w:sz="4" w:space="0" w:color="auto"/>
                    <w:bottom w:val="single" w:sz="4" w:space="0" w:color="auto"/>
                    <w:right w:val="single" w:sz="4" w:space="0" w:color="auto"/>
                  </w:tcBorders>
                </w:tcPr>
                <w:p w:rsidR="00712485" w:rsidRPr="00712485" w:rsidRDefault="00712485" w:rsidP="00712485">
                  <w:pPr>
                    <w:jc w:val="center"/>
                    <w:rPr>
                      <w:sz w:val="16"/>
                      <w:szCs w:val="16"/>
                      <w:lang w:val="en-US"/>
                    </w:rPr>
                  </w:pPr>
                  <w:r>
                    <w:rPr>
                      <w:sz w:val="16"/>
                      <w:szCs w:val="16"/>
                      <w:lang w:val="en-US"/>
                    </w:rPr>
                    <w:t>100</w:t>
                  </w:r>
                </w:p>
              </w:tc>
              <w:tc>
                <w:tcPr>
                  <w:tcW w:w="992"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c>
                <w:tcPr>
                  <w:tcW w:w="850" w:type="dxa"/>
                  <w:tcBorders>
                    <w:top w:val="single" w:sz="4" w:space="0" w:color="auto"/>
                    <w:left w:val="single" w:sz="4" w:space="0" w:color="auto"/>
                    <w:bottom w:val="single" w:sz="4" w:space="0" w:color="auto"/>
                    <w:right w:val="single" w:sz="4" w:space="0" w:color="auto"/>
                  </w:tcBorders>
                  <w:hideMark/>
                </w:tcPr>
                <w:p w:rsidR="00712485" w:rsidRPr="00712485" w:rsidRDefault="00712485" w:rsidP="00712485">
                  <w:pPr>
                    <w:jc w:val="center"/>
                    <w:rPr>
                      <w:sz w:val="16"/>
                      <w:szCs w:val="16"/>
                    </w:rPr>
                  </w:pPr>
                  <w:r w:rsidRPr="00712485">
                    <w:rPr>
                      <w:sz w:val="16"/>
                      <w:szCs w:val="16"/>
                    </w:rPr>
                    <w:t>так</w:t>
                  </w:r>
                </w:p>
              </w:tc>
            </w:tr>
          </w:tbl>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 xml:space="preserve">Термін надання послуг з підключення та користування мережею Інтернет (далі – Послуги): з дати укладання договору до 31.12.2024. </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 xml:space="preserve">Учасник повинен діяти відповідно до законодавства України, а саме  бути включений до реєстру операторів, провайдерів телекомунікації з видом діяльності </w:t>
            </w:r>
            <w:r w:rsidRPr="009C45C1">
              <w:rPr>
                <w:sz w:val="16"/>
                <w:szCs w:val="16"/>
              </w:rPr>
              <w:lastRenderedPageBreak/>
              <w:t>«надання послуг доступу до Інтернету», територією та статусом (оператор або провайдер) відповідно до вимог ст. 42 Закону України від 18.11.2003 №1280-IV «Про телекомунікації» (з змінами)  у порядку, запровадженому рішенням Національної комісії, що здійснює державне регулювання у сфері зв’язку та інформатизації 17.12.2019 №610.</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 xml:space="preserve">Учасник повинен мати дійсний </w:t>
            </w:r>
            <w:r w:rsidRPr="009C45C1">
              <w:rPr>
                <w:sz w:val="16"/>
                <w:szCs w:val="16"/>
                <w:shd w:val="clear" w:color="auto" w:fill="FFFFFF"/>
              </w:rPr>
              <w:t xml:space="preserve">зареєстрований </w:t>
            </w:r>
            <w:proofErr w:type="spellStart"/>
            <w:r w:rsidRPr="009C45C1">
              <w:rPr>
                <w:sz w:val="16"/>
                <w:szCs w:val="16"/>
                <w:shd w:val="clear" w:color="auto" w:fill="FFFFFF"/>
              </w:rPr>
              <w:t>Держспецзв’язку</w:t>
            </w:r>
            <w:r w:rsidRPr="009C45C1">
              <w:rPr>
                <w:sz w:val="16"/>
                <w:szCs w:val="16"/>
              </w:rPr>
              <w:t>атестат</w:t>
            </w:r>
            <w:proofErr w:type="spellEnd"/>
            <w:r w:rsidRPr="009C45C1">
              <w:rPr>
                <w:sz w:val="16"/>
                <w:szCs w:val="16"/>
              </w:rPr>
              <w:t xml:space="preserve"> відповідності </w:t>
            </w:r>
            <w:r w:rsidRPr="009C45C1">
              <w:rPr>
                <w:b/>
                <w:bCs/>
                <w:sz w:val="16"/>
                <w:szCs w:val="16"/>
              </w:rPr>
              <w:t xml:space="preserve">систем захист ЗВІД, </w:t>
            </w:r>
            <w:r w:rsidRPr="009C45C1">
              <w:rPr>
                <w:sz w:val="16"/>
                <w:szCs w:val="16"/>
                <w:shd w:val="clear" w:color="auto" w:fill="FFFFFF"/>
              </w:rPr>
              <w:t xml:space="preserve">на виконання пункту 1.5).б) рішення РНБО від 10 липня 2017 року «Про стан виконання рішення Ради національної безпеки і оборони України від 29 грудня 2016 року «Про загрози </w:t>
            </w:r>
            <w:proofErr w:type="spellStart"/>
            <w:r w:rsidRPr="009C45C1">
              <w:rPr>
                <w:sz w:val="16"/>
                <w:szCs w:val="16"/>
                <w:shd w:val="clear" w:color="auto" w:fill="FFFFFF"/>
              </w:rPr>
              <w:t>кібербезпеці</w:t>
            </w:r>
            <w:proofErr w:type="spellEnd"/>
            <w:r w:rsidRPr="009C45C1">
              <w:rPr>
                <w:sz w:val="16"/>
                <w:szCs w:val="16"/>
                <w:shd w:val="clear" w:color="auto" w:fill="FFFFFF"/>
              </w:rPr>
              <w:t xml:space="preserve"> держави та невідкладні заходи з їх нейтралізації», веденого в дію Указом Президента України від 13 лютого 2017 року № 32» , веденого в дію Указом Президента України від 30 серпня 2017 року № 254/2017.</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 xml:space="preserve">Учасник повинен використовувати системи фільтрації забороненого та небажаного контенту, зокрема обмеження доступу до заборонених </w:t>
            </w:r>
            <w:proofErr w:type="spellStart"/>
            <w:r w:rsidRPr="009C45C1">
              <w:rPr>
                <w:sz w:val="16"/>
                <w:szCs w:val="16"/>
              </w:rPr>
              <w:t>інтернет-ресурсів</w:t>
            </w:r>
            <w:proofErr w:type="spellEnd"/>
            <w:r w:rsidRPr="009C45C1">
              <w:rPr>
                <w:sz w:val="16"/>
                <w:szCs w:val="16"/>
              </w:rPr>
              <w:t xml:space="preserve"> відповідно до діючого законодавства України.</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Учасник забезпечує надання цілодобового безлімітного доступу до мережі Інтернет, до міжнародних ресурсів Інтернет та UA-IX з пропускною здатністю не менше, ніж існуючі підключення. Пропускна здатність визначається для кожної точки підключення окремо відповідно до інформації (таблиця 1).</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Кожна точка підключення має бути однозначно ідентифікована за IP адресою, логіном тощо. У разі потреби Замовника Учасник повинен забезпечити надання статичної ІРv4 адреси з адресного простору мережі Інтернет.</w:t>
            </w:r>
          </w:p>
          <w:p w:rsidR="009C45C1" w:rsidRPr="00FF5975" w:rsidRDefault="009C45C1" w:rsidP="009C45C1">
            <w:pPr>
              <w:pStyle w:val="a4"/>
              <w:widowControl/>
              <w:numPr>
                <w:ilvl w:val="0"/>
                <w:numId w:val="2"/>
              </w:numPr>
              <w:autoSpaceDE/>
              <w:autoSpaceDN/>
              <w:spacing w:before="120" w:after="120"/>
              <w:ind w:left="0" w:firstLine="284"/>
              <w:contextualSpacing/>
              <w:rPr>
                <w:sz w:val="28"/>
                <w:szCs w:val="28"/>
              </w:rPr>
            </w:pPr>
            <w:r w:rsidRPr="009C45C1">
              <w:rPr>
                <w:sz w:val="16"/>
                <w:szCs w:val="16"/>
              </w:rPr>
              <w:t xml:space="preserve">Надання Послуг може бути організовано за допомогою організації волоконно-оптичної лінії зв’язку та </w:t>
            </w:r>
            <w:proofErr w:type="spellStart"/>
            <w:r w:rsidRPr="009C45C1">
              <w:rPr>
                <w:sz w:val="16"/>
                <w:szCs w:val="16"/>
              </w:rPr>
              <w:t>медіаконверторів</w:t>
            </w:r>
            <w:proofErr w:type="spellEnd"/>
            <w:r w:rsidRPr="009C45C1">
              <w:rPr>
                <w:sz w:val="16"/>
                <w:szCs w:val="16"/>
              </w:rPr>
              <w:t>/SFP-модулів тощо. Схему підключення обладнання Замовника з відповідними інтерфейсами та розподіленнямвідповідальності Сторін за функціонування обладнання наведено на рисунку. Вимоги до параметрів якості Послуг визначені Показниками якості послуг із передачі даних, доступу до Інтернету та їх рівнів, затвердженими наказом Адміністрації Державної служби спеціального зв’язку та захисту інформації України від 28.12.2012 №803, зареєстрованого в Міністерстві Юстиції України 21.01.2013 №135/22667.</w:t>
            </w:r>
          </w:p>
          <w:p w:rsidR="00FF5975" w:rsidRPr="00FF5975" w:rsidRDefault="00FF5975" w:rsidP="00FF5975">
            <w:pPr>
              <w:widowControl/>
              <w:autoSpaceDE/>
              <w:autoSpaceDN/>
              <w:spacing w:before="120" w:after="120"/>
              <w:contextualSpacing/>
              <w:rPr>
                <w:sz w:val="28"/>
                <w:szCs w:val="28"/>
                <w:lang w:val="en-US"/>
              </w:rPr>
            </w:pPr>
            <w:r w:rsidRPr="00FF5975">
              <w:rPr>
                <w:noProof/>
                <w:sz w:val="28"/>
                <w:szCs w:val="28"/>
                <w:lang w:eastAsia="uk-UA"/>
              </w:rPr>
              <w:drawing>
                <wp:inline distT="0" distB="0" distL="0" distR="0">
                  <wp:extent cx="2992728" cy="1227786"/>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728" cy="1227786"/>
                          </a:xfrm>
                          <a:prstGeom prst="rect">
                            <a:avLst/>
                          </a:prstGeom>
                          <a:noFill/>
                          <a:ln>
                            <a:noFill/>
                          </a:ln>
                        </pic:spPr>
                      </pic:pic>
                    </a:graphicData>
                  </a:graphic>
                </wp:inline>
              </w:drawing>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Надання Послуг здійснюється Учасником безперервно до припинення надання послуг/дії Договору.</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 xml:space="preserve">Учасник повинен забезпечити безперебійну роботу </w:t>
            </w:r>
            <w:proofErr w:type="spellStart"/>
            <w:r w:rsidRPr="009C45C1">
              <w:rPr>
                <w:sz w:val="16"/>
                <w:szCs w:val="16"/>
              </w:rPr>
              <w:t>каналоутворюючого</w:t>
            </w:r>
            <w:proofErr w:type="spellEnd"/>
            <w:r w:rsidRPr="009C45C1">
              <w:rPr>
                <w:sz w:val="16"/>
                <w:szCs w:val="16"/>
              </w:rPr>
              <w:t xml:space="preserve"> обладнання. Інформування Замовника, не пізніш як за 24 години до початку запланованих технічних робіт, які призупиняють надання Послуг. Планові роботи можуть проводитись в період з 20:00 до 08:00 год.</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Учасник повинен мати власний Центр Технічної Підтримки з можливістю цілодобового та щоденного звернення (протягом 24 години на добу, 7 днів на тиждень) за телефоном або електронною поштою. При надходженні заявки на ремонт каналу (відсутність Послуги з вини Учасника) при перевищені строку ремонту понад нормований час повинно бути припинене нарахування абонентської плати за період з моменту подачі заявки до відновлення надання Послуги у повному обсязі.</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Учасник повинен забезпечити усунення пошкоджень телекомунікаційної мережі та відновлення доступу до глобальної мережі у термін відповідно до Показників якості послуг із передачі даних, доступу до Інтернету та їх рівнів, затверджених наказом Адміністрації Державної служби спеціального зв’язку та захисту інформації України від 28.12.2012 № 803. Максимальний сумарний час простою не повинен перевищувати 24 години на місяць.</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Учасник повинен здійснювати постійний моніторинг телекомунікаційних каналів зв’язку, виявлення та усунення причин відхилення від заданих технічних характеристик.</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Абонентна плата сплачується щомісячно Замовником за виставленими рахунками без передплати.</w:t>
            </w:r>
          </w:p>
          <w:p w:rsidR="009C45C1" w:rsidRPr="009C45C1" w:rsidRDefault="009C45C1" w:rsidP="009C45C1">
            <w:pPr>
              <w:pStyle w:val="a4"/>
              <w:widowControl/>
              <w:numPr>
                <w:ilvl w:val="0"/>
                <w:numId w:val="2"/>
              </w:numPr>
              <w:autoSpaceDE/>
              <w:autoSpaceDN/>
              <w:spacing w:before="120" w:after="120"/>
              <w:ind w:left="0" w:firstLine="284"/>
              <w:contextualSpacing/>
              <w:rPr>
                <w:sz w:val="16"/>
                <w:szCs w:val="16"/>
              </w:rPr>
            </w:pPr>
            <w:r w:rsidRPr="009C45C1">
              <w:rPr>
                <w:sz w:val="16"/>
                <w:szCs w:val="16"/>
              </w:rPr>
              <w:t>Учасник може забезпечити технічну можливість у подальшому збільшити пропускну спроможність каналу доступу до мережі Інтернет (за спільною згодою).</w:t>
            </w:r>
          </w:p>
          <w:p w:rsidR="009C45C1" w:rsidRPr="00D65C77" w:rsidRDefault="009C45C1" w:rsidP="009C45C1">
            <w:pPr>
              <w:pStyle w:val="a4"/>
              <w:widowControl/>
              <w:autoSpaceDE/>
              <w:autoSpaceDN/>
              <w:spacing w:before="120" w:after="120"/>
              <w:ind w:left="284"/>
              <w:contextualSpacing/>
              <w:rPr>
                <w:sz w:val="28"/>
                <w:szCs w:val="28"/>
              </w:rPr>
            </w:pPr>
          </w:p>
          <w:p w:rsidR="001B6197" w:rsidRPr="001B6197" w:rsidRDefault="001B6197" w:rsidP="00712485">
            <w:pPr>
              <w:ind w:right="-142" w:firstLine="567"/>
              <w:rPr>
                <w:sz w:val="24"/>
                <w:szCs w:val="24"/>
              </w:rPr>
            </w:pPr>
          </w:p>
        </w:tc>
      </w:tr>
      <w:tr w:rsidR="00E31A73" w:rsidTr="00E67D44">
        <w:trPr>
          <w:trHeight w:val="2253"/>
        </w:trPr>
        <w:tc>
          <w:tcPr>
            <w:tcW w:w="401" w:type="dxa"/>
          </w:tcPr>
          <w:p w:rsidR="00E31A73" w:rsidRPr="00A84966" w:rsidRDefault="00645EF6" w:rsidP="00A84966">
            <w:pPr>
              <w:pStyle w:val="TableParagraph"/>
              <w:spacing w:line="320" w:lineRule="exact"/>
              <w:ind w:left="107"/>
              <w:rPr>
                <w:sz w:val="24"/>
                <w:szCs w:val="24"/>
              </w:rPr>
            </w:pPr>
            <w:r w:rsidRPr="00A84966">
              <w:rPr>
                <w:sz w:val="24"/>
                <w:szCs w:val="24"/>
              </w:rPr>
              <w:lastRenderedPageBreak/>
              <w:t>3</w:t>
            </w:r>
          </w:p>
        </w:tc>
        <w:tc>
          <w:tcPr>
            <w:tcW w:w="4234" w:type="dxa"/>
          </w:tcPr>
          <w:p w:rsidR="00E31A73" w:rsidRPr="00A84966" w:rsidRDefault="00645EF6" w:rsidP="00A84966">
            <w:pPr>
              <w:pStyle w:val="TableParagraph"/>
              <w:ind w:left="0" w:right="467"/>
              <w:rPr>
                <w:sz w:val="24"/>
                <w:szCs w:val="24"/>
              </w:rPr>
            </w:pPr>
            <w:r w:rsidRPr="00A84966">
              <w:rPr>
                <w:sz w:val="24"/>
                <w:szCs w:val="24"/>
              </w:rPr>
              <w:t>Обґрунтування очікуваної вартості предмета закупівлі, розміру бюджетного</w:t>
            </w:r>
          </w:p>
          <w:p w:rsidR="00E31A73" w:rsidRPr="00A84966" w:rsidRDefault="00645EF6" w:rsidP="00A84966">
            <w:pPr>
              <w:pStyle w:val="TableParagraph"/>
              <w:spacing w:line="321" w:lineRule="exact"/>
              <w:ind w:left="108"/>
              <w:rPr>
                <w:sz w:val="24"/>
                <w:szCs w:val="24"/>
              </w:rPr>
            </w:pPr>
            <w:r w:rsidRPr="00A84966">
              <w:rPr>
                <w:sz w:val="24"/>
                <w:szCs w:val="24"/>
              </w:rPr>
              <w:t>призначення</w:t>
            </w:r>
          </w:p>
        </w:tc>
        <w:tc>
          <w:tcPr>
            <w:tcW w:w="6285" w:type="dxa"/>
          </w:tcPr>
          <w:p w:rsidR="00A84966" w:rsidRDefault="00A84966" w:rsidP="00A84966">
            <w:r>
              <w:t xml:space="preserve">Очікувана вартість предмета закупівлі розрахована з урахуванням пункту 2 розділу ІІІ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 на підставі закупівельних цін попередніх періодів та склала </w:t>
            </w:r>
          </w:p>
          <w:p w:rsidR="00A84966" w:rsidRDefault="00ED2BAA" w:rsidP="00A84966">
            <w:r>
              <w:rPr>
                <w:lang w:val="en-US"/>
              </w:rPr>
              <w:t>368 800</w:t>
            </w:r>
            <w:proofErr w:type="gramStart"/>
            <w:r>
              <w:t>,00</w:t>
            </w:r>
            <w:proofErr w:type="gramEnd"/>
            <w:r w:rsidR="00A84966">
              <w:t xml:space="preserve"> грн.</w:t>
            </w:r>
            <w:bookmarkStart w:id="0" w:name="_GoBack"/>
            <w:bookmarkEnd w:id="0"/>
          </w:p>
          <w:p w:rsidR="00E31A73" w:rsidRPr="00A84966" w:rsidRDefault="00E31A73" w:rsidP="00FB2856"/>
        </w:tc>
      </w:tr>
    </w:tbl>
    <w:p w:rsidR="00E40384" w:rsidRDefault="00E40384"/>
    <w:sectPr w:rsidR="00E40384" w:rsidSect="00606900">
      <w:type w:val="continuous"/>
      <w:pgSz w:w="11910" w:h="16840"/>
      <w:pgMar w:top="1580" w:right="780" w:bottom="280" w:left="78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419D"/>
    <w:multiLevelType w:val="hybridMultilevel"/>
    <w:tmpl w:val="AFD02AD2"/>
    <w:lvl w:ilvl="0" w:tplc="0B842592">
      <w:start w:val="1"/>
      <w:numFmt w:val="decimal"/>
      <w:lvlText w:val="%1."/>
      <w:lvlJc w:val="left"/>
      <w:pPr>
        <w:ind w:left="360" w:hanging="360"/>
      </w:pPr>
      <w:rPr>
        <w:rFonts w:hint="default"/>
        <w:sz w:val="16"/>
        <w:szCs w:val="1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7A3E7E77"/>
    <w:multiLevelType w:val="hybridMultilevel"/>
    <w:tmpl w:val="756E8DEC"/>
    <w:lvl w:ilvl="0" w:tplc="18B42736">
      <w:start w:val="1"/>
      <w:numFmt w:val="lowerLetter"/>
      <w:lvlText w:val="%1)"/>
      <w:lvlJc w:val="left"/>
      <w:pPr>
        <w:ind w:left="2203"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31A73"/>
    <w:rsid w:val="0004725F"/>
    <w:rsid w:val="00061EBC"/>
    <w:rsid w:val="0007574C"/>
    <w:rsid w:val="000E70F7"/>
    <w:rsid w:val="00176056"/>
    <w:rsid w:val="001B6197"/>
    <w:rsid w:val="00236B2F"/>
    <w:rsid w:val="0028290D"/>
    <w:rsid w:val="002C45F5"/>
    <w:rsid w:val="00342077"/>
    <w:rsid w:val="00343642"/>
    <w:rsid w:val="00352A23"/>
    <w:rsid w:val="00366CE0"/>
    <w:rsid w:val="0047212E"/>
    <w:rsid w:val="00484A5C"/>
    <w:rsid w:val="004E73F8"/>
    <w:rsid w:val="005F2836"/>
    <w:rsid w:val="00606900"/>
    <w:rsid w:val="0060783B"/>
    <w:rsid w:val="00645EF6"/>
    <w:rsid w:val="00674E5E"/>
    <w:rsid w:val="006C6855"/>
    <w:rsid w:val="006E027F"/>
    <w:rsid w:val="00703473"/>
    <w:rsid w:val="00712485"/>
    <w:rsid w:val="0077222B"/>
    <w:rsid w:val="007E3900"/>
    <w:rsid w:val="007F6009"/>
    <w:rsid w:val="008D0A4F"/>
    <w:rsid w:val="009C1243"/>
    <w:rsid w:val="009C45C1"/>
    <w:rsid w:val="009F64F1"/>
    <w:rsid w:val="00A84966"/>
    <w:rsid w:val="00A87D5D"/>
    <w:rsid w:val="00AC12ED"/>
    <w:rsid w:val="00AF1F54"/>
    <w:rsid w:val="00B910E6"/>
    <w:rsid w:val="00B9792C"/>
    <w:rsid w:val="00BD734A"/>
    <w:rsid w:val="00C04332"/>
    <w:rsid w:val="00D1534C"/>
    <w:rsid w:val="00D1572F"/>
    <w:rsid w:val="00E31A73"/>
    <w:rsid w:val="00E40384"/>
    <w:rsid w:val="00E67D44"/>
    <w:rsid w:val="00E67D81"/>
    <w:rsid w:val="00ED2BAA"/>
    <w:rsid w:val="00EE29F3"/>
    <w:rsid w:val="00EF7A55"/>
    <w:rsid w:val="00FB2856"/>
    <w:rsid w:val="00FB2E35"/>
    <w:rsid w:val="00FF59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4C"/>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6900"/>
    <w:tblPr>
      <w:tblInd w:w="0" w:type="dxa"/>
      <w:tblCellMar>
        <w:top w:w="0" w:type="dxa"/>
        <w:left w:w="0" w:type="dxa"/>
        <w:bottom w:w="0" w:type="dxa"/>
        <w:right w:w="0" w:type="dxa"/>
      </w:tblCellMar>
    </w:tblPr>
  </w:style>
  <w:style w:type="paragraph" w:styleId="a3">
    <w:name w:val="Title"/>
    <w:basedOn w:val="a"/>
    <w:uiPriority w:val="10"/>
    <w:qFormat/>
    <w:rsid w:val="00606900"/>
    <w:pPr>
      <w:spacing w:before="6"/>
    </w:pPr>
  </w:style>
  <w:style w:type="paragraph" w:styleId="a4">
    <w:name w:val="List Paragraph"/>
    <w:basedOn w:val="a"/>
    <w:link w:val="a5"/>
    <w:uiPriority w:val="34"/>
    <w:qFormat/>
    <w:rsid w:val="00606900"/>
  </w:style>
  <w:style w:type="paragraph" w:customStyle="1" w:styleId="TableParagraph">
    <w:name w:val="Table Paragraph"/>
    <w:basedOn w:val="a"/>
    <w:uiPriority w:val="1"/>
    <w:qFormat/>
    <w:rsid w:val="00606900"/>
    <w:pPr>
      <w:ind w:left="105"/>
    </w:pPr>
  </w:style>
  <w:style w:type="table" w:styleId="a6">
    <w:name w:val="Table Grid"/>
    <w:basedOn w:val="a1"/>
    <w:uiPriority w:val="39"/>
    <w:rsid w:val="00075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rsid w:val="00EE29F3"/>
    <w:rPr>
      <w:rFonts w:ascii="Times New Roman" w:eastAsia="Times New Roman" w:hAnsi="Times New Roman" w:cs="Times New Roman"/>
      <w:lang w:val="uk-UA"/>
    </w:rPr>
  </w:style>
  <w:style w:type="character" w:customStyle="1" w:styleId="ListParagraphChar">
    <w:name w:val="List Paragraph Char"/>
    <w:aliases w:val="Elenco Normale Char"/>
    <w:link w:val="1"/>
    <w:uiPriority w:val="99"/>
    <w:locked/>
    <w:rsid w:val="00352A23"/>
    <w:rPr>
      <w:rFonts w:ascii="Calibri" w:eastAsia="Times New Roman" w:hAnsi="Calibri" w:cs="Times New Roman"/>
      <w:lang w:val="uk-UA"/>
    </w:rPr>
  </w:style>
  <w:style w:type="paragraph" w:customStyle="1" w:styleId="1">
    <w:name w:val="Абзац списку1"/>
    <w:basedOn w:val="a"/>
    <w:link w:val="ListParagraphChar"/>
    <w:uiPriority w:val="99"/>
    <w:rsid w:val="00352A23"/>
    <w:pPr>
      <w:widowControl/>
      <w:autoSpaceDE/>
      <w:autoSpaceDN/>
      <w:spacing w:after="200" w:line="276" w:lineRule="auto"/>
      <w:ind w:left="720"/>
      <w:contextualSpacing/>
    </w:pPr>
    <w:rPr>
      <w:rFonts w:ascii="Calibri" w:hAnsi="Calibri"/>
    </w:rPr>
  </w:style>
  <w:style w:type="paragraph" w:styleId="a7">
    <w:name w:val="Balloon Text"/>
    <w:basedOn w:val="a"/>
    <w:link w:val="a8"/>
    <w:uiPriority w:val="99"/>
    <w:semiHidden/>
    <w:unhideWhenUsed/>
    <w:rsid w:val="00FF5975"/>
    <w:rPr>
      <w:rFonts w:ascii="Tahoma" w:hAnsi="Tahoma" w:cs="Tahoma"/>
      <w:sz w:val="16"/>
      <w:szCs w:val="16"/>
    </w:rPr>
  </w:style>
  <w:style w:type="character" w:customStyle="1" w:styleId="a8">
    <w:name w:val="Текст выноски Знак"/>
    <w:basedOn w:val="a0"/>
    <w:link w:val="a7"/>
    <w:uiPriority w:val="99"/>
    <w:semiHidden/>
    <w:rsid w:val="00FF5975"/>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4284</Words>
  <Characters>2442</Characters>
  <Application>Microsoft Office Word</Application>
  <DocSecurity>4</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Балим</dc:creator>
  <cp:lastModifiedBy>ivazhna</cp:lastModifiedBy>
  <cp:revision>2</cp:revision>
  <dcterms:created xsi:type="dcterms:W3CDTF">2024-03-11T13:03:00Z</dcterms:created>
  <dcterms:modified xsi:type="dcterms:W3CDTF">2024-03-11T13:03:00Z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2013</vt:lpwstr>
  </property>
  <property fmtid="{D5CDD505-2E9C-101B-9397-08002B2CF9AE}" pid="4" name="LastSaved">
    <vt:filetime>2021-06-30T00:00:00Z</vt:filetime>
  </property>
</Properties>
</file>