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3D0DC7">
        <w:rPr>
          <w:sz w:val="22"/>
          <w:szCs w:val="22"/>
          <w:lang w:val="uk-UA"/>
        </w:rPr>
        <w:t>1</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w:t>
      </w:r>
      <w:r w:rsidR="00510D15">
        <w:rPr>
          <w:sz w:val="22"/>
          <w:szCs w:val="22"/>
          <w:lang w:val="uk-UA"/>
        </w:rPr>
        <w:t>11.11.2019</w:t>
      </w:r>
      <w:r>
        <w:rPr>
          <w:sz w:val="22"/>
          <w:szCs w:val="22"/>
          <w:lang w:val="uk-UA"/>
        </w:rPr>
        <w:t>__№_</w:t>
      </w:r>
      <w:r w:rsidR="00510D15">
        <w:rPr>
          <w:sz w:val="22"/>
          <w:szCs w:val="22"/>
          <w:lang w:val="uk-UA"/>
        </w:rPr>
        <w:t>1941</w:t>
      </w:r>
      <w:r>
        <w:rPr>
          <w:sz w:val="22"/>
          <w:szCs w:val="22"/>
          <w:lang w:val="uk-UA"/>
        </w:rPr>
        <w:t xml:space="preserve">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80167B" w:rsidRDefault="0080167B" w:rsidP="00315F15">
      <w:pPr>
        <w:jc w:val="center"/>
        <w:rPr>
          <w:sz w:val="28"/>
          <w:szCs w:val="28"/>
          <w:lang w:val="uk-UA"/>
        </w:rPr>
      </w:pPr>
      <w:r w:rsidRPr="001164AC">
        <w:rPr>
          <w:sz w:val="28"/>
          <w:szCs w:val="28"/>
          <w:lang w:val="uk-UA"/>
        </w:rPr>
        <w:t>заступника начальника відділу  по роботі з боргом Залізничного управління</w:t>
      </w:r>
    </w:p>
    <w:p w:rsidR="00315F15" w:rsidRPr="00612488" w:rsidRDefault="00315F15" w:rsidP="00315F15">
      <w:pPr>
        <w:jc w:val="center"/>
        <w:rPr>
          <w:sz w:val="28"/>
          <w:szCs w:val="28"/>
          <w:lang w:val="uk-UA"/>
        </w:rPr>
      </w:pPr>
      <w:r w:rsidRPr="00612488">
        <w:rPr>
          <w:sz w:val="28"/>
          <w:szCs w:val="28"/>
          <w:lang w:val="uk-UA"/>
        </w:rPr>
        <w:t xml:space="preserve"> 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EC49D3">
        <w:trPr>
          <w:trHeight w:val="334"/>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4D36DE" w:rsidRPr="00D03287" w:rsidRDefault="0080167B" w:rsidP="004D36DE">
            <w:pPr>
              <w:pStyle w:val="Style15"/>
              <w:widowControl/>
              <w:spacing w:line="240" w:lineRule="auto"/>
              <w:ind w:right="19" w:firstLine="0"/>
              <w:rPr>
                <w:sz w:val="22"/>
                <w:szCs w:val="22"/>
              </w:rPr>
            </w:pPr>
            <w:r>
              <w:rPr>
                <w:sz w:val="22"/>
                <w:szCs w:val="22"/>
              </w:rPr>
              <w:t>1.</w:t>
            </w:r>
            <w:r>
              <w:t> </w:t>
            </w:r>
            <w:r>
              <w:rPr>
                <w:sz w:val="22"/>
                <w:szCs w:val="22"/>
              </w:rPr>
              <w:t>В</w:t>
            </w:r>
            <w:r w:rsidR="004D36DE" w:rsidRPr="00D03287">
              <w:rPr>
                <w:sz w:val="22"/>
                <w:szCs w:val="22"/>
              </w:rPr>
              <w:t>изначення пріоритетів роботи відділу та шляхи виконання покладених на нього завдань</w:t>
            </w:r>
            <w:r>
              <w:rPr>
                <w:sz w:val="22"/>
                <w:szCs w:val="22"/>
                <w:lang w:val="ru-RU"/>
              </w:rPr>
              <w:t>.</w:t>
            </w:r>
            <w:r w:rsidR="004D36DE" w:rsidRPr="00D03287">
              <w:rPr>
                <w:sz w:val="22"/>
                <w:szCs w:val="22"/>
              </w:rPr>
              <w:t xml:space="preserve"> </w:t>
            </w:r>
          </w:p>
          <w:p w:rsidR="004D36DE" w:rsidRPr="00D03287" w:rsidRDefault="0080167B" w:rsidP="004D36DE">
            <w:pPr>
              <w:jc w:val="both"/>
              <w:rPr>
                <w:sz w:val="22"/>
                <w:szCs w:val="22"/>
                <w:lang w:eastAsia="ko-KR"/>
              </w:rPr>
            </w:pPr>
            <w:r>
              <w:rPr>
                <w:sz w:val="22"/>
                <w:szCs w:val="22"/>
                <w:lang w:val="uk-UA" w:eastAsia="ko-KR"/>
              </w:rPr>
              <w:t>2. О</w:t>
            </w:r>
            <w:proofErr w:type="spellStart"/>
            <w:r w:rsidR="004D36DE" w:rsidRPr="00D03287">
              <w:rPr>
                <w:sz w:val="22"/>
                <w:szCs w:val="22"/>
                <w:lang w:eastAsia="ko-KR"/>
              </w:rPr>
              <w:t>рганізація</w:t>
            </w:r>
            <w:proofErr w:type="spellEnd"/>
            <w:r w:rsidR="004D36DE" w:rsidRPr="00D03287">
              <w:rPr>
                <w:sz w:val="22"/>
                <w:szCs w:val="22"/>
                <w:lang w:eastAsia="ko-KR"/>
              </w:rPr>
              <w:t xml:space="preserve"> </w:t>
            </w:r>
            <w:proofErr w:type="spellStart"/>
            <w:r w:rsidR="004D36DE" w:rsidRPr="00D03287">
              <w:rPr>
                <w:sz w:val="22"/>
                <w:szCs w:val="22"/>
                <w:lang w:eastAsia="ko-KR"/>
              </w:rPr>
              <w:t>роботи</w:t>
            </w:r>
            <w:proofErr w:type="spellEnd"/>
            <w:r w:rsidR="004D36DE" w:rsidRPr="00D03287">
              <w:rPr>
                <w:sz w:val="22"/>
                <w:szCs w:val="22"/>
                <w:lang w:eastAsia="ko-KR"/>
              </w:rPr>
              <w:t xml:space="preserve"> </w:t>
            </w:r>
            <w:proofErr w:type="spellStart"/>
            <w:r w:rsidR="004D36DE" w:rsidRPr="00D03287">
              <w:rPr>
                <w:sz w:val="22"/>
                <w:szCs w:val="22"/>
                <w:lang w:eastAsia="ko-KR"/>
              </w:rPr>
              <w:t>з</w:t>
            </w:r>
            <w:proofErr w:type="spellEnd"/>
            <w:r w:rsidR="004D36DE" w:rsidRPr="00D03287">
              <w:rPr>
                <w:sz w:val="22"/>
                <w:szCs w:val="22"/>
                <w:lang w:eastAsia="ko-KR"/>
              </w:rPr>
              <w:t xml:space="preserve"> </w:t>
            </w:r>
            <w:proofErr w:type="spellStart"/>
            <w:r w:rsidR="004D36DE" w:rsidRPr="00D03287">
              <w:rPr>
                <w:sz w:val="22"/>
                <w:szCs w:val="22"/>
                <w:lang w:eastAsia="ko-KR"/>
              </w:rPr>
              <w:t>укомплектування</w:t>
            </w:r>
            <w:proofErr w:type="spellEnd"/>
            <w:r w:rsidR="004D36DE" w:rsidRPr="00D03287">
              <w:rPr>
                <w:sz w:val="22"/>
                <w:szCs w:val="22"/>
                <w:lang w:eastAsia="ko-KR"/>
              </w:rPr>
              <w:t xml:space="preserve">, </w:t>
            </w:r>
            <w:proofErr w:type="spellStart"/>
            <w:r w:rsidR="004D36DE" w:rsidRPr="00D03287">
              <w:rPr>
                <w:sz w:val="22"/>
                <w:szCs w:val="22"/>
                <w:lang w:eastAsia="ko-KR"/>
              </w:rPr>
              <w:t>зберігання</w:t>
            </w:r>
            <w:proofErr w:type="spellEnd"/>
            <w:r w:rsidR="004D36DE" w:rsidRPr="00D03287">
              <w:rPr>
                <w:sz w:val="22"/>
                <w:szCs w:val="22"/>
                <w:lang w:eastAsia="ko-KR"/>
              </w:rPr>
              <w:t xml:space="preserve">, </w:t>
            </w:r>
            <w:proofErr w:type="spellStart"/>
            <w:r w:rsidR="004D36DE" w:rsidRPr="00D03287">
              <w:rPr>
                <w:sz w:val="22"/>
                <w:szCs w:val="22"/>
                <w:lang w:eastAsia="ko-KR"/>
              </w:rPr>
              <w:t>обліку</w:t>
            </w:r>
            <w:proofErr w:type="spellEnd"/>
            <w:r w:rsidR="004D36DE" w:rsidRPr="00D03287">
              <w:rPr>
                <w:sz w:val="22"/>
                <w:szCs w:val="22"/>
                <w:lang w:eastAsia="ko-KR"/>
              </w:rPr>
              <w:t xml:space="preserve"> та </w:t>
            </w:r>
            <w:proofErr w:type="spellStart"/>
            <w:r w:rsidR="004D36DE" w:rsidRPr="00D03287">
              <w:rPr>
                <w:sz w:val="22"/>
                <w:szCs w:val="22"/>
                <w:lang w:eastAsia="ko-KR"/>
              </w:rPr>
              <w:t>використання</w:t>
            </w:r>
            <w:proofErr w:type="spellEnd"/>
            <w:r w:rsidR="004D36DE" w:rsidRPr="00D03287">
              <w:rPr>
                <w:sz w:val="22"/>
                <w:szCs w:val="22"/>
                <w:lang w:eastAsia="ko-KR"/>
              </w:rPr>
              <w:t xml:space="preserve"> </w:t>
            </w:r>
            <w:proofErr w:type="spellStart"/>
            <w:r w:rsidR="004D36DE" w:rsidRPr="00D03287">
              <w:rPr>
                <w:sz w:val="22"/>
                <w:szCs w:val="22"/>
                <w:lang w:eastAsia="ko-KR"/>
              </w:rPr>
              <w:t>арх</w:t>
            </w:r>
            <w:r w:rsidR="004D36DE">
              <w:rPr>
                <w:sz w:val="22"/>
                <w:szCs w:val="22"/>
                <w:lang w:eastAsia="ko-KR"/>
              </w:rPr>
              <w:t>івних</w:t>
            </w:r>
            <w:proofErr w:type="spellEnd"/>
            <w:r w:rsidR="004D36DE">
              <w:rPr>
                <w:sz w:val="22"/>
                <w:szCs w:val="22"/>
                <w:lang w:eastAsia="ko-KR"/>
              </w:rPr>
              <w:t xml:space="preserve"> </w:t>
            </w:r>
            <w:proofErr w:type="spellStart"/>
            <w:r w:rsidR="004D36DE">
              <w:rPr>
                <w:sz w:val="22"/>
                <w:szCs w:val="22"/>
                <w:lang w:eastAsia="ko-KR"/>
              </w:rPr>
              <w:t>документів</w:t>
            </w:r>
            <w:proofErr w:type="spellEnd"/>
            <w:r w:rsidR="004D36DE">
              <w:rPr>
                <w:sz w:val="22"/>
                <w:szCs w:val="22"/>
                <w:lang w:eastAsia="ko-KR"/>
              </w:rPr>
              <w:t xml:space="preserve">, </w:t>
            </w:r>
            <w:proofErr w:type="spellStart"/>
            <w:r w:rsidR="004D36DE" w:rsidRPr="00D03287">
              <w:rPr>
                <w:sz w:val="22"/>
                <w:szCs w:val="22"/>
                <w:lang w:eastAsia="ko-KR"/>
              </w:rPr>
              <w:t>організація</w:t>
            </w:r>
            <w:proofErr w:type="spellEnd"/>
            <w:r w:rsidR="004D36DE" w:rsidRPr="00D03287">
              <w:rPr>
                <w:sz w:val="22"/>
                <w:szCs w:val="22"/>
                <w:lang w:eastAsia="ko-KR"/>
              </w:rPr>
              <w:t xml:space="preserve"> </w:t>
            </w:r>
            <w:proofErr w:type="spellStart"/>
            <w:r w:rsidR="004D36DE" w:rsidRPr="00D03287">
              <w:rPr>
                <w:sz w:val="22"/>
                <w:szCs w:val="22"/>
                <w:lang w:eastAsia="ko-KR"/>
              </w:rPr>
              <w:t>ведення</w:t>
            </w:r>
            <w:proofErr w:type="spellEnd"/>
            <w:r w:rsidR="004D36DE" w:rsidRPr="00D03287">
              <w:rPr>
                <w:sz w:val="22"/>
                <w:szCs w:val="22"/>
                <w:lang w:eastAsia="ko-KR"/>
              </w:rPr>
              <w:t xml:space="preserve"> </w:t>
            </w:r>
            <w:proofErr w:type="spellStart"/>
            <w:r w:rsidR="004D36DE" w:rsidRPr="00D03287">
              <w:rPr>
                <w:sz w:val="22"/>
                <w:szCs w:val="22"/>
                <w:lang w:eastAsia="ko-KR"/>
              </w:rPr>
              <w:t>діловодства</w:t>
            </w:r>
            <w:proofErr w:type="spellEnd"/>
            <w:r>
              <w:rPr>
                <w:sz w:val="22"/>
                <w:szCs w:val="22"/>
                <w:lang w:eastAsia="ko-KR"/>
              </w:rPr>
              <w:t>.</w:t>
            </w:r>
          </w:p>
          <w:p w:rsidR="004D36DE" w:rsidRPr="007D44F0" w:rsidRDefault="0080167B" w:rsidP="004D36DE">
            <w:pPr>
              <w:pStyle w:val="Style17"/>
              <w:widowControl/>
              <w:tabs>
                <w:tab w:val="left" w:pos="1459"/>
              </w:tabs>
              <w:spacing w:line="240" w:lineRule="auto"/>
              <w:ind w:left="19" w:right="5" w:firstLine="0"/>
              <w:rPr>
                <w:sz w:val="22"/>
                <w:szCs w:val="22"/>
                <w:lang w:val="ru-RU"/>
              </w:rPr>
            </w:pPr>
            <w:r>
              <w:rPr>
                <w:sz w:val="22"/>
                <w:szCs w:val="22"/>
              </w:rPr>
              <w:t>3.</w:t>
            </w:r>
            <w:r w:rsidR="004D36DE" w:rsidRPr="00D03287">
              <w:rPr>
                <w:sz w:val="22"/>
                <w:szCs w:val="22"/>
              </w:rPr>
              <w:t> </w:t>
            </w:r>
            <w:r>
              <w:rPr>
                <w:sz w:val="22"/>
                <w:szCs w:val="22"/>
              </w:rPr>
              <w:t>З</w:t>
            </w:r>
            <w:r w:rsidR="004D36DE" w:rsidRPr="00D03287">
              <w:rPr>
                <w:sz w:val="22"/>
                <w:szCs w:val="22"/>
              </w:rPr>
              <w:t xml:space="preserve">дійснення контролю за організацією роботи із ведення обліку податків, зборів, митних платежів, а саме організація роботи щодо забезпечення достовірного та своєчасного відображення первинних показників в підсистемах інформаційної системи органів </w:t>
            </w:r>
            <w:r w:rsidR="004D36DE">
              <w:rPr>
                <w:bCs/>
                <w:sz w:val="22"/>
                <w:szCs w:val="22"/>
              </w:rPr>
              <w:t>ДП</w:t>
            </w:r>
            <w:r w:rsidR="004D36DE" w:rsidRPr="00D03287">
              <w:rPr>
                <w:bCs/>
                <w:sz w:val="22"/>
                <w:szCs w:val="22"/>
              </w:rPr>
              <w:t>С та</w:t>
            </w:r>
            <w:r w:rsidR="004D36DE" w:rsidRPr="00D03287">
              <w:rPr>
                <w:b/>
                <w:bCs/>
                <w:sz w:val="22"/>
                <w:szCs w:val="22"/>
              </w:rPr>
              <w:t xml:space="preserve"> </w:t>
            </w:r>
            <w:r w:rsidR="004D36DE" w:rsidRPr="00D03287">
              <w:rPr>
                <w:sz w:val="22"/>
                <w:szCs w:val="22"/>
              </w:rPr>
              <w:t>їх відповідним перенесенням до інтегрованої картки платника, зокрема сум податкових зобов'язань, штрафних санкцій та пені у с</w:t>
            </w:r>
            <w:r w:rsidR="004D36DE">
              <w:rPr>
                <w:sz w:val="22"/>
                <w:szCs w:val="22"/>
              </w:rPr>
              <w:t xml:space="preserve">фері </w:t>
            </w:r>
            <w:proofErr w:type="spellStart"/>
            <w:r w:rsidR="004D36DE">
              <w:rPr>
                <w:sz w:val="22"/>
                <w:szCs w:val="22"/>
              </w:rPr>
              <w:t>ЗЕД</w:t>
            </w:r>
            <w:proofErr w:type="spellEnd"/>
            <w:r w:rsidR="004D36DE">
              <w:rPr>
                <w:sz w:val="22"/>
                <w:szCs w:val="22"/>
              </w:rPr>
              <w:t>, визначених органами ДП</w:t>
            </w:r>
            <w:r w:rsidR="004D36DE" w:rsidRPr="00D03287">
              <w:rPr>
                <w:sz w:val="22"/>
                <w:szCs w:val="22"/>
              </w:rPr>
              <w:t>С за результатами контрольно-перевірочної роботи, розстрочених (відстрочених) зобов'язань (боргів), рішень (ухвал) суду, що набрали законної сили, щодо процедур банкрутства і розстрочення (відстрочення) або списання (поновлення) сум заборгованостей</w:t>
            </w:r>
            <w:r>
              <w:rPr>
                <w:sz w:val="22"/>
                <w:szCs w:val="22"/>
                <w:lang w:val="ru-RU"/>
              </w:rPr>
              <w:t>.</w:t>
            </w:r>
          </w:p>
          <w:p w:rsidR="004D36DE" w:rsidRPr="00D03287" w:rsidRDefault="0080167B" w:rsidP="004D36DE">
            <w:pPr>
              <w:jc w:val="both"/>
              <w:rPr>
                <w:sz w:val="22"/>
                <w:szCs w:val="22"/>
                <w:lang w:val="uk-UA" w:eastAsia="ko-KR"/>
              </w:rPr>
            </w:pPr>
            <w:r>
              <w:rPr>
                <w:bCs/>
                <w:sz w:val="22"/>
                <w:szCs w:val="22"/>
                <w:lang w:val="uk-UA" w:eastAsia="ko-KR"/>
              </w:rPr>
              <w:t>4. О</w:t>
            </w:r>
            <w:r w:rsidR="004D36DE" w:rsidRPr="00D03287">
              <w:rPr>
                <w:bCs/>
                <w:sz w:val="22"/>
                <w:szCs w:val="22"/>
                <w:lang w:val="uk-UA" w:eastAsia="ko-KR"/>
              </w:rPr>
              <w:t xml:space="preserve">рганізація роботи щодо погашення податкового боргу з податків і зборів платників податків, заборгованості з інших платежів, а саме </w:t>
            </w:r>
            <w:r w:rsidR="004D36DE" w:rsidRPr="00D03287">
              <w:rPr>
                <w:sz w:val="22"/>
                <w:szCs w:val="22"/>
                <w:lang w:val="uk-UA" w:eastAsia="ko-KR"/>
              </w:rPr>
              <w:t>здійснення заходів з погашення податкового боргу платників податків та заборгованості з митних платежів, аналіз динаміки та структури податкового боргу у розрізі податків і зборів тощо</w:t>
            </w:r>
            <w:r w:rsidR="00EC49D3">
              <w:rPr>
                <w:sz w:val="22"/>
                <w:szCs w:val="22"/>
                <w:lang w:val="uk-UA" w:eastAsia="ko-KR"/>
              </w:rPr>
              <w:t>.</w:t>
            </w:r>
          </w:p>
          <w:p w:rsidR="004D36DE" w:rsidRPr="007D44F0" w:rsidRDefault="00EC49D3" w:rsidP="004D36DE">
            <w:pPr>
              <w:jc w:val="both"/>
              <w:rPr>
                <w:sz w:val="22"/>
                <w:szCs w:val="22"/>
                <w:lang w:eastAsia="ko-KR"/>
              </w:rPr>
            </w:pPr>
            <w:r>
              <w:rPr>
                <w:sz w:val="22"/>
                <w:szCs w:val="22"/>
                <w:lang w:val="uk-UA" w:eastAsia="ko-KR"/>
              </w:rPr>
              <w:t>5. О</w:t>
            </w:r>
            <w:r w:rsidR="004D36DE" w:rsidRPr="00D03287">
              <w:rPr>
                <w:sz w:val="22"/>
                <w:szCs w:val="22"/>
                <w:lang w:val="uk-UA" w:eastAsia="ko-KR"/>
              </w:rPr>
              <w:t>рганізація роботи з своєчасного формування та надіслання податкових вимог</w:t>
            </w:r>
            <w:r w:rsidR="0080167B">
              <w:rPr>
                <w:sz w:val="22"/>
                <w:szCs w:val="22"/>
                <w:lang w:eastAsia="ko-KR"/>
              </w:rPr>
              <w:t>.</w:t>
            </w:r>
          </w:p>
          <w:p w:rsidR="004D36DE" w:rsidRPr="007D44F0" w:rsidRDefault="00EC49D3" w:rsidP="004D36DE">
            <w:pPr>
              <w:pStyle w:val="Style17"/>
              <w:widowControl/>
              <w:tabs>
                <w:tab w:val="left" w:pos="1459"/>
              </w:tabs>
              <w:spacing w:line="240" w:lineRule="auto"/>
              <w:ind w:right="5" w:firstLine="0"/>
              <w:rPr>
                <w:color w:val="000000"/>
                <w:sz w:val="22"/>
                <w:szCs w:val="22"/>
              </w:rPr>
            </w:pPr>
            <w:r>
              <w:rPr>
                <w:rStyle w:val="FontStyle30"/>
                <w:color w:val="000000"/>
                <w:lang w:eastAsia="uk-UA"/>
              </w:rPr>
              <w:t>6.</w:t>
            </w:r>
            <w:r w:rsidR="004D36DE" w:rsidRPr="00D03287">
              <w:rPr>
                <w:rStyle w:val="FontStyle30"/>
                <w:color w:val="000000"/>
                <w:lang w:eastAsia="uk-UA"/>
              </w:rPr>
              <w:t> </w:t>
            </w:r>
            <w:r>
              <w:rPr>
                <w:rStyle w:val="FontStyle30"/>
                <w:color w:val="000000"/>
                <w:lang w:eastAsia="uk-UA"/>
              </w:rPr>
              <w:t> О</w:t>
            </w:r>
            <w:r w:rsidR="004D36DE" w:rsidRPr="00D03287">
              <w:rPr>
                <w:rStyle w:val="FontStyle30"/>
                <w:color w:val="000000"/>
                <w:lang w:eastAsia="uk-UA"/>
              </w:rPr>
              <w:t>рганізація роботи зі своєчасності застосування права податкової застави на майна підприємств-боржників у відповідності до вимог Податкового кодексу України, зокрема своєчасність прийняття рішень про опис майна в податкову заставу та правильність складання актів опису майна у податкову заставу, своєчасність реєстрації та зняття податкової застави на майно боржників</w:t>
            </w:r>
            <w:r w:rsidR="0080167B">
              <w:rPr>
                <w:rStyle w:val="FontStyle30"/>
                <w:color w:val="000000"/>
                <w:lang w:eastAsia="uk-UA"/>
              </w:rPr>
              <w:t>.</w:t>
            </w:r>
          </w:p>
          <w:p w:rsidR="004D36DE" w:rsidRPr="007D44F0" w:rsidRDefault="00EC49D3" w:rsidP="004D36DE">
            <w:pPr>
              <w:pStyle w:val="Style17"/>
              <w:widowControl/>
              <w:tabs>
                <w:tab w:val="left" w:pos="1459"/>
              </w:tabs>
              <w:spacing w:line="240" w:lineRule="auto"/>
              <w:ind w:right="5" w:firstLine="0"/>
              <w:rPr>
                <w:rStyle w:val="FontStyle30"/>
                <w:color w:val="000000"/>
                <w:lang w:eastAsia="uk-UA"/>
              </w:rPr>
            </w:pPr>
            <w:r>
              <w:rPr>
                <w:rStyle w:val="FontStyle30"/>
                <w:color w:val="000000"/>
                <w:lang w:eastAsia="uk-UA"/>
              </w:rPr>
              <w:t>7. О</w:t>
            </w:r>
            <w:r w:rsidR="004D36DE" w:rsidRPr="00D03287">
              <w:rPr>
                <w:rStyle w:val="FontStyle30"/>
                <w:color w:val="000000"/>
                <w:lang w:eastAsia="uk-UA"/>
              </w:rPr>
              <w:t>рганізація роботи з відстрочення, розстрочення та реструктуризації грошових зобов’язань та/або податкового боргу, прийняття рішень про розстрочення та відстрочення грошових зобов’язань та/або податкового боргу</w:t>
            </w:r>
            <w:r w:rsidR="0080167B">
              <w:rPr>
                <w:rStyle w:val="FontStyle30"/>
                <w:color w:val="000000"/>
                <w:lang w:eastAsia="uk-UA"/>
              </w:rPr>
              <w:t>.</w:t>
            </w:r>
          </w:p>
          <w:p w:rsidR="004D36DE" w:rsidRPr="00D03287" w:rsidRDefault="00EC49D3" w:rsidP="004D36DE">
            <w:pPr>
              <w:pStyle w:val="Style17"/>
              <w:widowControl/>
              <w:tabs>
                <w:tab w:val="left" w:pos="1459"/>
              </w:tabs>
              <w:spacing w:line="240" w:lineRule="auto"/>
              <w:ind w:right="5" w:firstLine="0"/>
              <w:rPr>
                <w:rStyle w:val="FontStyle30"/>
                <w:color w:val="000000"/>
                <w:lang w:eastAsia="uk-UA"/>
              </w:rPr>
            </w:pPr>
            <w:r>
              <w:rPr>
                <w:rStyle w:val="FontStyle30"/>
                <w:color w:val="000000"/>
                <w:lang w:eastAsia="uk-UA"/>
              </w:rPr>
              <w:t>8. О</w:t>
            </w:r>
            <w:r w:rsidR="004D36DE" w:rsidRPr="00D03287">
              <w:rPr>
                <w:rStyle w:val="FontStyle30"/>
                <w:color w:val="000000"/>
                <w:lang w:eastAsia="uk-UA"/>
              </w:rPr>
              <w:t xml:space="preserve">рганізація роботи зі стягнення заборгованості </w:t>
            </w:r>
            <w:proofErr w:type="spellStart"/>
            <w:r w:rsidR="004D36DE" w:rsidRPr="00D03287">
              <w:rPr>
                <w:rStyle w:val="FontStyle30"/>
                <w:color w:val="000000"/>
                <w:lang w:eastAsia="uk-UA"/>
              </w:rPr>
              <w:t>суб</w:t>
            </w:r>
            <w:proofErr w:type="spellEnd"/>
            <w:r w:rsidR="004D36DE" w:rsidRPr="00D03287">
              <w:rPr>
                <w:rStyle w:val="FontStyle30"/>
                <w:color w:val="000000"/>
                <w:lang w:val="ru-RU" w:eastAsia="uk-UA"/>
              </w:rPr>
              <w:t>’</w:t>
            </w:r>
            <w:proofErr w:type="spellStart"/>
            <w:r w:rsidR="004D36DE" w:rsidRPr="00D03287">
              <w:rPr>
                <w:rStyle w:val="FontStyle30"/>
                <w:color w:val="000000"/>
                <w:lang w:eastAsia="uk-UA"/>
              </w:rPr>
              <w:t>єктів</w:t>
            </w:r>
            <w:proofErr w:type="spellEnd"/>
            <w:r w:rsidR="004D36DE" w:rsidRPr="00D03287">
              <w:rPr>
                <w:rStyle w:val="FontStyle30"/>
                <w:color w:val="000000"/>
                <w:lang w:eastAsia="uk-UA"/>
              </w:rPr>
              <w:t xml:space="preserve"> господарювання за кредитами та позиками, залученими державою</w:t>
            </w:r>
            <w:r w:rsidR="0080167B">
              <w:rPr>
                <w:rStyle w:val="FontStyle30"/>
                <w:color w:val="000000"/>
                <w:lang w:val="ru-RU" w:eastAsia="uk-UA"/>
              </w:rPr>
              <w:t>.</w:t>
            </w:r>
            <w:r w:rsidR="004D36DE" w:rsidRPr="00D03287">
              <w:rPr>
                <w:rStyle w:val="FontStyle30"/>
                <w:color w:val="000000"/>
                <w:lang w:eastAsia="uk-UA"/>
              </w:rPr>
              <w:t xml:space="preserve"> </w:t>
            </w:r>
          </w:p>
          <w:p w:rsidR="008E3000" w:rsidRPr="008E3000" w:rsidRDefault="00EC49D3" w:rsidP="00EC49D3">
            <w:pPr>
              <w:tabs>
                <w:tab w:val="left" w:pos="4432"/>
              </w:tabs>
              <w:jc w:val="both"/>
              <w:rPr>
                <w:lang w:val="uk-UA"/>
              </w:rPr>
            </w:pPr>
            <w:r>
              <w:rPr>
                <w:sz w:val="22"/>
                <w:szCs w:val="22"/>
                <w:lang w:val="uk-UA" w:eastAsia="ko-KR"/>
              </w:rPr>
              <w:t>9. З</w:t>
            </w:r>
            <w:r w:rsidR="004D36DE" w:rsidRPr="009F5DA9">
              <w:rPr>
                <w:sz w:val="22"/>
                <w:szCs w:val="22"/>
                <w:lang w:val="uk-UA" w:eastAsia="ko-KR"/>
              </w:rPr>
              <w:t xml:space="preserve">дійснення розгляду звернень громадян та юридичних осіб з питань погашення податкового боргу </w:t>
            </w:r>
            <w:r w:rsidR="004D36DE" w:rsidRPr="009F5DA9">
              <w:rPr>
                <w:sz w:val="22"/>
                <w:szCs w:val="22"/>
                <w:lang w:val="uk-UA" w:eastAsia="ko-KR"/>
              </w:rPr>
              <w:lastRenderedPageBreak/>
              <w:t>підприємств-боржників</w:t>
            </w:r>
            <w:r>
              <w:rPr>
                <w:sz w:val="22"/>
                <w:szCs w:val="22"/>
                <w:lang w:val="uk-UA" w:eastAsia="ko-KR"/>
              </w:rPr>
              <w:t>.</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EC49D3">
            <w:pPr>
              <w:jc w:val="both"/>
              <w:rPr>
                <w:lang w:val="uk-UA"/>
              </w:rPr>
            </w:pPr>
            <w:proofErr w:type="spellStart"/>
            <w:r w:rsidRPr="00583CB8">
              <w:t>Посадовий</w:t>
            </w:r>
            <w:proofErr w:type="spellEnd"/>
            <w:r w:rsidRPr="00583CB8">
              <w:t xml:space="preserve"> оклад </w:t>
            </w:r>
            <w:r w:rsidRPr="00EC49D3">
              <w:t xml:space="preserve">– </w:t>
            </w:r>
            <w:r w:rsidRPr="00EC49D3">
              <w:rPr>
                <w:lang w:val="uk-UA"/>
              </w:rPr>
              <w:t>6</w:t>
            </w:r>
            <w:r w:rsidR="00EC49D3" w:rsidRPr="00EC49D3">
              <w:rPr>
                <w:lang w:val="uk-UA"/>
              </w:rPr>
              <w:t>200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EC49D3" w:rsidRDefault="00315F15" w:rsidP="009E496F">
            <w:pPr>
              <w:pStyle w:val="rvps2"/>
              <w:spacing w:before="0" w:beforeAutospacing="0" w:after="0" w:afterAutospacing="0"/>
              <w:jc w:val="both"/>
              <w:rPr>
                <w:lang w:val="uk-UA"/>
              </w:rPr>
            </w:pP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t>компетентностей</w:t>
            </w:r>
            <w:proofErr w:type="spellEnd"/>
            <w:r w:rsidRPr="00EC49D3">
              <w:rPr>
                <w:lang w:val="uk-UA" w:eastAsia="uk-UA"/>
              </w:rPr>
              <w:t>, репутації (характеристики, рекомендації, наукові публікації тощо).</w:t>
            </w:r>
          </w:p>
          <w:p w:rsidR="00315F15" w:rsidRPr="00EC49D3" w:rsidRDefault="00315F15" w:rsidP="002D0E4A">
            <w:pPr>
              <w:jc w:val="both"/>
              <w:rPr>
                <w:lang w:val="uk-UA" w:eastAsia="uk-UA"/>
              </w:rPr>
            </w:pPr>
          </w:p>
          <w:p w:rsidR="00315F15" w:rsidRPr="00EC49D3" w:rsidRDefault="00315F15" w:rsidP="002D0E4A">
            <w:pPr>
              <w:jc w:val="both"/>
              <w:rPr>
                <w:lang w:val="uk-UA" w:eastAsia="uk-UA"/>
              </w:rPr>
            </w:pPr>
            <w:r w:rsidRPr="00EC49D3">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15F15" w:rsidRPr="00EC49D3" w:rsidRDefault="00315F15" w:rsidP="002D0E4A">
            <w:pPr>
              <w:tabs>
                <w:tab w:val="left" w:pos="1342"/>
              </w:tabs>
              <w:jc w:val="both"/>
              <w:rPr>
                <w:lang w:val="uk-UA"/>
              </w:rPr>
            </w:pPr>
          </w:p>
          <w:p w:rsidR="00CA7FBB" w:rsidRPr="00EC49D3" w:rsidRDefault="00315F15" w:rsidP="00CA7FBB">
            <w:pPr>
              <w:pStyle w:val="210"/>
              <w:shd w:val="clear" w:color="auto" w:fill="auto"/>
              <w:spacing w:line="240" w:lineRule="auto"/>
              <w:ind w:left="17" w:right="238"/>
              <w:jc w:val="both"/>
              <w:rPr>
                <w:sz w:val="24"/>
                <w:szCs w:val="24"/>
                <w:lang w:val="uk-UA" w:eastAsia="uk-UA"/>
              </w:rPr>
            </w:pPr>
            <w:r w:rsidRPr="00EC49D3">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CA7FBB" w:rsidRPr="00EC49D3">
                <w:rPr>
                  <w:sz w:val="24"/>
                  <w:szCs w:val="24"/>
                  <w:lang w:eastAsia="uk-UA"/>
                </w:rPr>
                <w:t>79003, м</w:t>
              </w:r>
            </w:smartTag>
            <w:r w:rsidR="00CA7FBB" w:rsidRPr="00EC49D3">
              <w:rPr>
                <w:sz w:val="24"/>
                <w:szCs w:val="24"/>
                <w:lang w:eastAsia="uk-UA"/>
              </w:rPr>
              <w:t xml:space="preserve">. </w:t>
            </w:r>
            <w:proofErr w:type="spellStart"/>
            <w:r w:rsidR="00CA7FBB" w:rsidRPr="00EC49D3">
              <w:rPr>
                <w:sz w:val="24"/>
                <w:szCs w:val="24"/>
                <w:lang w:eastAsia="uk-UA"/>
              </w:rPr>
              <w:t>Львів</w:t>
            </w:r>
            <w:proofErr w:type="spellEnd"/>
            <w:r w:rsidR="00CA7FBB" w:rsidRPr="00EC49D3">
              <w:rPr>
                <w:sz w:val="24"/>
                <w:szCs w:val="24"/>
                <w:lang w:eastAsia="uk-UA"/>
              </w:rPr>
              <w:t xml:space="preserve">, </w:t>
            </w:r>
            <w:proofErr w:type="spellStart"/>
            <w:r w:rsidR="00CA7FBB" w:rsidRPr="00EC49D3">
              <w:rPr>
                <w:sz w:val="24"/>
                <w:szCs w:val="24"/>
                <w:lang w:eastAsia="uk-UA"/>
              </w:rPr>
              <w:t>вул</w:t>
            </w:r>
            <w:proofErr w:type="spellEnd"/>
            <w:r w:rsidR="00CA7FBB" w:rsidRPr="00EC49D3">
              <w:rPr>
                <w:sz w:val="24"/>
                <w:szCs w:val="24"/>
                <w:lang w:eastAsia="uk-UA"/>
              </w:rPr>
              <w:t xml:space="preserve"> </w:t>
            </w:r>
            <w:proofErr w:type="spellStart"/>
            <w:r w:rsidR="00CA7FBB" w:rsidRPr="00EC49D3">
              <w:rPr>
                <w:sz w:val="24"/>
                <w:szCs w:val="24"/>
                <w:lang w:eastAsia="uk-UA"/>
              </w:rPr>
              <w:t>Стрийська</w:t>
            </w:r>
            <w:proofErr w:type="spellEnd"/>
            <w:r w:rsidR="00CA7FBB" w:rsidRPr="00EC49D3">
              <w:rPr>
                <w:sz w:val="24"/>
                <w:szCs w:val="24"/>
                <w:lang w:eastAsia="uk-UA"/>
              </w:rPr>
              <w:t xml:space="preserve">, 35 </w:t>
            </w:r>
            <w:proofErr w:type="spellStart"/>
            <w:r w:rsidR="00CA7FBB" w:rsidRPr="00EC49D3">
              <w:rPr>
                <w:sz w:val="24"/>
                <w:szCs w:val="24"/>
              </w:rPr>
              <w:t>із</w:t>
            </w:r>
            <w:proofErr w:type="spellEnd"/>
            <w:r w:rsidR="00CA7FBB" w:rsidRPr="00EC49D3">
              <w:rPr>
                <w:sz w:val="24"/>
                <w:szCs w:val="24"/>
              </w:rPr>
              <w:t xml:space="preserve"> </w:t>
            </w:r>
            <w:proofErr w:type="spellStart"/>
            <w:r w:rsidR="00CA7FBB" w:rsidRPr="00EC49D3">
              <w:rPr>
                <w:sz w:val="24"/>
                <w:szCs w:val="24"/>
              </w:rPr>
              <w:t>позначкою</w:t>
            </w:r>
            <w:proofErr w:type="spellEnd"/>
            <w:r w:rsidR="00CA7FBB" w:rsidRPr="00EC49D3">
              <w:rPr>
                <w:sz w:val="24"/>
                <w:szCs w:val="24"/>
              </w:rPr>
              <w:t xml:space="preserve"> «</w:t>
            </w:r>
            <w:proofErr w:type="spellStart"/>
            <w:r w:rsidR="00CA7FBB" w:rsidRPr="00EC49D3">
              <w:rPr>
                <w:sz w:val="24"/>
                <w:szCs w:val="24"/>
              </w:rPr>
              <w:t>Документи</w:t>
            </w:r>
            <w:proofErr w:type="spellEnd"/>
            <w:r w:rsidR="00CA7FBB" w:rsidRPr="00EC49D3">
              <w:rPr>
                <w:sz w:val="24"/>
                <w:szCs w:val="24"/>
              </w:rPr>
              <w:t xml:space="preserve"> для </w:t>
            </w:r>
            <w:proofErr w:type="spellStart"/>
            <w:r w:rsidR="00CA7FBB" w:rsidRPr="00EC49D3">
              <w:rPr>
                <w:sz w:val="24"/>
                <w:szCs w:val="24"/>
              </w:rPr>
              <w:t>участі</w:t>
            </w:r>
            <w:proofErr w:type="spellEnd"/>
            <w:r w:rsidR="00CA7FBB" w:rsidRPr="00EC49D3">
              <w:rPr>
                <w:sz w:val="24"/>
                <w:szCs w:val="24"/>
              </w:rPr>
              <w:t xml:space="preserve"> </w:t>
            </w:r>
            <w:proofErr w:type="gramStart"/>
            <w:r w:rsidR="00CA7FBB" w:rsidRPr="00EC49D3">
              <w:rPr>
                <w:sz w:val="24"/>
                <w:szCs w:val="24"/>
              </w:rPr>
              <w:t>у</w:t>
            </w:r>
            <w:proofErr w:type="gramEnd"/>
            <w:r w:rsidR="00CA7FBB" w:rsidRPr="00EC49D3">
              <w:rPr>
                <w:sz w:val="24"/>
                <w:szCs w:val="24"/>
              </w:rPr>
              <w:t xml:space="preserve"> </w:t>
            </w:r>
            <w:proofErr w:type="spellStart"/>
            <w:proofErr w:type="gramStart"/>
            <w:r w:rsidR="00CA7FBB" w:rsidRPr="00EC49D3">
              <w:rPr>
                <w:sz w:val="24"/>
                <w:szCs w:val="24"/>
              </w:rPr>
              <w:t>конкурс</w:t>
            </w:r>
            <w:proofErr w:type="gramEnd"/>
            <w:r w:rsidR="00CA7FBB" w:rsidRPr="00EC49D3">
              <w:rPr>
                <w:sz w:val="24"/>
                <w:szCs w:val="24"/>
              </w:rPr>
              <w:t>і</w:t>
            </w:r>
            <w:proofErr w:type="spellEnd"/>
            <w:r w:rsidR="00CA7FBB" w:rsidRPr="00EC49D3">
              <w:rPr>
                <w:sz w:val="24"/>
                <w:szCs w:val="24"/>
              </w:rPr>
              <w:t xml:space="preserve"> на посаду </w:t>
            </w:r>
            <w:r w:rsidR="00CA7FBB" w:rsidRPr="00EC49D3">
              <w:rPr>
                <w:rStyle w:val="20pt"/>
                <w:color w:val="000000"/>
                <w:sz w:val="24"/>
                <w:szCs w:val="24"/>
                <w:lang w:eastAsia="uk-UA"/>
              </w:rPr>
              <w:t xml:space="preserve"> </w:t>
            </w:r>
            <w:r w:rsidR="00EC49D3" w:rsidRPr="00EC49D3">
              <w:rPr>
                <w:sz w:val="24"/>
                <w:szCs w:val="24"/>
                <w:lang w:val="uk-UA"/>
              </w:rPr>
              <w:t>заступника начальника відділу  по роботі з боргом Залізничного управління</w:t>
            </w:r>
            <w:r w:rsidR="00CA7FBB" w:rsidRPr="00EC49D3">
              <w:rPr>
                <w:rStyle w:val="ab"/>
                <w:color w:val="000000"/>
              </w:rPr>
              <w:t xml:space="preserve"> </w:t>
            </w:r>
            <w:r w:rsidR="00CA7FBB" w:rsidRPr="00EC49D3">
              <w:rPr>
                <w:rStyle w:val="rvts15"/>
                <w:sz w:val="24"/>
                <w:szCs w:val="24"/>
                <w:lang w:val="uk-UA"/>
              </w:rPr>
              <w:t>Головного управління ДПС у Львівській області</w:t>
            </w:r>
            <w:r w:rsidR="00CA7FBB" w:rsidRPr="00EC49D3">
              <w:rPr>
                <w:sz w:val="24"/>
                <w:szCs w:val="24"/>
                <w:lang w:val="uk-UA" w:eastAsia="uk-UA"/>
              </w:rPr>
              <w:t>».</w:t>
            </w:r>
            <w:r w:rsidR="00CA7FBB" w:rsidRPr="00EC49D3">
              <w:rPr>
                <w:sz w:val="24"/>
                <w:szCs w:val="24"/>
                <w:lang w:eastAsia="uk-UA"/>
              </w:rPr>
              <w:t xml:space="preserve"> </w:t>
            </w:r>
          </w:p>
          <w:p w:rsidR="00CA7FBB" w:rsidRPr="00EC49D3" w:rsidRDefault="00CA7FBB" w:rsidP="00CA7FBB">
            <w:pPr>
              <w:pStyle w:val="rvps2"/>
              <w:spacing w:before="0" w:beforeAutospacing="0" w:after="0" w:afterAutospacing="0"/>
              <w:jc w:val="both"/>
              <w:rPr>
                <w:lang w:val="uk-UA"/>
              </w:rPr>
            </w:pPr>
          </w:p>
          <w:p w:rsidR="00315F15" w:rsidRPr="00EC49D3" w:rsidRDefault="00315F15" w:rsidP="002D0E4A">
            <w:pPr>
              <w:pStyle w:val="rvps2"/>
              <w:spacing w:before="0" w:beforeAutospacing="0" w:after="0" w:afterAutospacing="0"/>
              <w:jc w:val="both"/>
              <w:rPr>
                <w:color w:val="FF0000"/>
                <w:lang w:val="uk-UA"/>
              </w:rPr>
            </w:pPr>
          </w:p>
          <w:p w:rsidR="00315F15" w:rsidRPr="00EC49D3" w:rsidRDefault="00315F15" w:rsidP="002D0E4A">
            <w:pPr>
              <w:pStyle w:val="rvps2"/>
              <w:spacing w:before="0" w:beforeAutospacing="0" w:after="0" w:afterAutospacing="0"/>
              <w:jc w:val="both"/>
              <w:rPr>
                <w:lang w:val="uk-UA"/>
              </w:rPr>
            </w:pPr>
            <w:r w:rsidRPr="00EC49D3">
              <w:rPr>
                <w:lang w:val="uk-UA"/>
              </w:rPr>
              <w:lastRenderedPageBreak/>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15F15" w:rsidRPr="00EC49D3" w:rsidRDefault="00315F15" w:rsidP="002D0E4A">
            <w:pPr>
              <w:tabs>
                <w:tab w:val="left" w:pos="1342"/>
              </w:tabs>
              <w:jc w:val="both"/>
              <w:rPr>
                <w:rStyle w:val="FontStyle30"/>
                <w:sz w:val="24"/>
                <w:szCs w:val="24"/>
                <w:lang w:val="uk-UA"/>
              </w:rPr>
            </w:pPr>
          </w:p>
          <w:p w:rsidR="00315F15" w:rsidRPr="00EC49D3" w:rsidRDefault="00315F15" w:rsidP="00EC49D3">
            <w:pPr>
              <w:pStyle w:val="rvps2"/>
              <w:spacing w:before="0" w:beforeAutospacing="0" w:after="0" w:afterAutospacing="0"/>
              <w:jc w:val="both"/>
              <w:rPr>
                <w:lang w:val="uk-UA"/>
              </w:rPr>
            </w:pPr>
            <w:r w:rsidRPr="00EC49D3">
              <w:rPr>
                <w:lang w:val="uk-UA"/>
              </w:rPr>
              <w:t>Інформація подається: до 18 год.00 хв. 1</w:t>
            </w:r>
            <w:r w:rsidR="00EC49D3" w:rsidRPr="00EC49D3">
              <w:rPr>
                <w:lang w:val="uk-UA"/>
              </w:rPr>
              <w:t>9 листопада</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CA7FBB" w:rsidP="00EC49D3">
            <w:pPr>
              <w:pStyle w:val="a3"/>
              <w:rPr>
                <w:lang w:val="uk-UA"/>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початок тестування о 10:00,  25 ли</w:t>
            </w:r>
            <w:r w:rsidR="00EC49D3" w:rsidRPr="00EC49D3">
              <w:rPr>
                <w:lang w:val="uk-UA"/>
              </w:rPr>
              <w:t>стопада</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4F4B9E" w:rsidP="00CA7FBB">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00CA7FBB" w:rsidRPr="004137CF">
              <w:rPr>
                <w:rStyle w:val="20pt"/>
                <w:rFonts w:eastAsia="Times New Roman"/>
                <w:color w:val="FF6600"/>
                <w:sz w:val="24"/>
                <w:szCs w:val="24"/>
                <w:lang w:val="uk-UA" w:eastAsia="uk-UA"/>
              </w:rPr>
              <w:t xml:space="preserve"> </w:t>
            </w:r>
            <w:r w:rsidR="00CA7FBB"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00CA7FBB" w:rsidRPr="004137CF">
              <w:rPr>
                <w:rStyle w:val="20pt"/>
                <w:rFonts w:eastAsia="Times New Roman"/>
                <w:sz w:val="24"/>
                <w:szCs w:val="24"/>
                <w:lang w:val="uk-UA" w:eastAsia="uk-UA"/>
              </w:rPr>
              <w:t>-</w:t>
            </w:r>
            <w:r w:rsidR="00CA7FBB" w:rsidRPr="004137CF">
              <w:rPr>
                <w:rStyle w:val="20pt"/>
                <w:rFonts w:eastAsia="Times New Roman"/>
                <w:sz w:val="24"/>
                <w:szCs w:val="24"/>
                <w:lang w:eastAsia="uk-UA"/>
              </w:rPr>
              <w:t>9</w:t>
            </w:r>
            <w:r>
              <w:rPr>
                <w:rStyle w:val="20pt"/>
                <w:rFonts w:eastAsia="Times New Roman"/>
                <w:sz w:val="24"/>
                <w:szCs w:val="24"/>
                <w:lang w:val="uk-UA" w:eastAsia="uk-UA"/>
              </w:rPr>
              <w:t>0</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315F15" w:rsidP="00EC49D3">
            <w:pPr>
              <w:pStyle w:val="rvps14"/>
              <w:jc w:val="both"/>
            </w:pPr>
            <w:r w:rsidRPr="007C13F9">
              <w:t>Вища</w:t>
            </w:r>
            <w:r w:rsidRPr="007C13F9">
              <w:rPr>
                <w:rStyle w:val="rvts0"/>
              </w:rPr>
              <w:t xml:space="preserve"> за освітнім ступенем не нижче магістра</w:t>
            </w:r>
            <w:r w:rsidR="00360F89" w:rsidRPr="007C13F9">
              <w:t xml:space="preserve"> в галузі знань та/або </w:t>
            </w:r>
            <w:r w:rsidR="00360F89" w:rsidRPr="007C13F9">
              <w:rPr>
                <w:rStyle w:val="rvts0"/>
              </w:rPr>
              <w:t xml:space="preserve">спеціальностей </w:t>
            </w:r>
            <w:r w:rsidR="00360F89" w:rsidRPr="007C13F9">
              <w:t>фінансово-економічного спрямування.</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EC49D3" w:rsidP="00360F89">
            <w:pPr>
              <w:pStyle w:val="a3"/>
              <w:jc w:val="both"/>
              <w:rPr>
                <w:lang w:val="uk-UA"/>
              </w:rPr>
            </w:pPr>
            <w:r w:rsidRPr="00327204">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r>
              <w:rPr>
                <w:lang w:val="uk-UA"/>
              </w:rPr>
              <w:t>.</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315F15" w:rsidP="00DF0065">
            <w:pPr>
              <w:jc w:val="both"/>
              <w:rPr>
                <w:lang w:val="uk-UA"/>
              </w:rPr>
            </w:pPr>
            <w:r w:rsidRPr="007C13F9">
              <w:rPr>
                <w:lang w:val="uk-UA"/>
              </w:rPr>
              <w:t xml:space="preserve">Аналітичні здібності, діалогове спілкування (письмове і усне), навички управління, навички контролю, лідерські якості, вміння розподіляти роботу, організаторські здібності, </w:t>
            </w:r>
            <w:proofErr w:type="spellStart"/>
            <w:r w:rsidRPr="007C13F9">
              <w:rPr>
                <w:lang w:val="uk-UA"/>
              </w:rPr>
              <w:t>стресостійкість</w:t>
            </w:r>
            <w:proofErr w:type="spellEnd"/>
            <w:r w:rsidRPr="007C13F9">
              <w:rPr>
                <w:lang w:val="uk-UA"/>
              </w:rPr>
              <w:t>, стратегічне мислення, уміння працювати в команді</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315F15" w:rsidP="00B34AC6">
            <w:pPr>
              <w:jc w:val="both"/>
              <w:rPr>
                <w:lang w:val="uk-UA"/>
              </w:rPr>
            </w:pPr>
            <w:r w:rsidRPr="007C13F9">
              <w:rPr>
                <w:lang w:val="uk-UA"/>
              </w:rPr>
              <w:t>Відповідальність, тактовність, надійність, порядність, емоційна стабільність, комунікабельність, креативність</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lastRenderedPageBreak/>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315F15">
        <w:trPr>
          <w:trHeight w:val="615"/>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3866FD" w:rsidRPr="000F2ACD" w:rsidRDefault="003866FD" w:rsidP="003866FD">
            <w:pPr>
              <w:numPr>
                <w:ilvl w:val="0"/>
                <w:numId w:val="15"/>
              </w:numPr>
              <w:ind w:right="100" w:hanging="497"/>
              <w:jc w:val="both"/>
              <w:rPr>
                <w:lang w:val="uk-UA"/>
              </w:rPr>
            </w:pPr>
            <w:r w:rsidRPr="000F2ACD">
              <w:rPr>
                <w:lang w:val="uk-UA"/>
              </w:rPr>
              <w:t>Податковий кодекс України</w:t>
            </w:r>
            <w:r>
              <w:rPr>
                <w:lang w:val="uk-UA"/>
              </w:rPr>
              <w:t>.</w:t>
            </w:r>
          </w:p>
          <w:p w:rsidR="003866FD" w:rsidRPr="000F2ACD" w:rsidRDefault="003866FD" w:rsidP="003866FD">
            <w:pPr>
              <w:numPr>
                <w:ilvl w:val="0"/>
                <w:numId w:val="15"/>
              </w:numPr>
              <w:ind w:left="459" w:right="100" w:hanging="283"/>
              <w:jc w:val="both"/>
              <w:rPr>
                <w:lang w:val="uk-UA"/>
              </w:rPr>
            </w:pPr>
            <w:r w:rsidRPr="000F2ACD">
              <w:rPr>
                <w:lang w:val="uk-UA"/>
              </w:rPr>
              <w:t>Бюджетний кодекс України</w:t>
            </w:r>
            <w:r>
              <w:rPr>
                <w:lang w:val="uk-UA"/>
              </w:rPr>
              <w:t>.</w:t>
            </w:r>
          </w:p>
          <w:p w:rsidR="003866FD" w:rsidRPr="000F2ACD" w:rsidRDefault="003866FD" w:rsidP="003866FD">
            <w:pPr>
              <w:numPr>
                <w:ilvl w:val="0"/>
                <w:numId w:val="15"/>
              </w:numPr>
              <w:ind w:left="459" w:right="100" w:hanging="283"/>
              <w:jc w:val="both"/>
              <w:rPr>
                <w:lang w:val="uk-UA"/>
              </w:rPr>
            </w:pPr>
            <w:r w:rsidRPr="000F2ACD">
              <w:rPr>
                <w:lang w:val="uk-UA"/>
              </w:rPr>
              <w:t>Господарський кодекс України</w:t>
            </w:r>
            <w:r>
              <w:rPr>
                <w:lang w:val="uk-UA"/>
              </w:rPr>
              <w:t>.</w:t>
            </w:r>
          </w:p>
          <w:p w:rsidR="003866FD" w:rsidRPr="000F2ACD" w:rsidRDefault="003866FD" w:rsidP="003866FD">
            <w:pPr>
              <w:numPr>
                <w:ilvl w:val="0"/>
                <w:numId w:val="15"/>
              </w:numPr>
              <w:ind w:left="459" w:right="100" w:hanging="283"/>
              <w:jc w:val="both"/>
              <w:rPr>
                <w:lang w:val="uk-UA"/>
              </w:rPr>
            </w:pPr>
            <w:r w:rsidRPr="000F2ACD">
              <w:rPr>
                <w:lang w:val="uk-UA"/>
              </w:rPr>
              <w:t>Адміністративний кодекс України</w:t>
            </w:r>
            <w:r>
              <w:rPr>
                <w:lang w:val="uk-UA"/>
              </w:rPr>
              <w:t>.</w:t>
            </w:r>
          </w:p>
          <w:p w:rsidR="003866FD" w:rsidRPr="000F2ACD" w:rsidRDefault="003866FD" w:rsidP="003866FD">
            <w:pPr>
              <w:numPr>
                <w:ilvl w:val="0"/>
                <w:numId w:val="15"/>
              </w:numPr>
              <w:ind w:left="459" w:right="100" w:hanging="283"/>
              <w:jc w:val="both"/>
              <w:rPr>
                <w:lang w:val="uk-UA"/>
              </w:rPr>
            </w:pPr>
            <w:r w:rsidRPr="000F2ACD">
              <w:rPr>
                <w:lang w:val="uk-UA"/>
              </w:rPr>
              <w:t>Закон України «Про звернення громадян»</w:t>
            </w:r>
            <w:r>
              <w:rPr>
                <w:lang w:val="uk-UA"/>
              </w:rPr>
              <w:t>.</w:t>
            </w:r>
          </w:p>
          <w:p w:rsidR="003866FD" w:rsidRPr="000F2ACD" w:rsidRDefault="003866FD" w:rsidP="003866FD">
            <w:pPr>
              <w:numPr>
                <w:ilvl w:val="0"/>
                <w:numId w:val="15"/>
              </w:numPr>
              <w:ind w:left="459" w:right="100" w:hanging="283"/>
              <w:jc w:val="both"/>
              <w:rPr>
                <w:lang w:val="uk-UA"/>
              </w:rPr>
            </w:pPr>
            <w:r w:rsidRPr="000F2ACD">
              <w:rPr>
                <w:lang w:val="uk-UA"/>
              </w:rPr>
              <w:t>Закон України «Про доступ до публічної інформації»</w:t>
            </w:r>
            <w:r>
              <w:rPr>
                <w:lang w:val="uk-UA"/>
              </w:rPr>
              <w:t>.</w:t>
            </w:r>
          </w:p>
          <w:p w:rsidR="003866FD" w:rsidRPr="00932396" w:rsidRDefault="003866FD" w:rsidP="003866FD">
            <w:pPr>
              <w:ind w:left="176" w:right="100"/>
              <w:jc w:val="both"/>
              <w:rPr>
                <w:lang w:val="uk-UA"/>
              </w:rPr>
            </w:pPr>
            <w:r w:rsidRPr="00932396">
              <w:t xml:space="preserve">8) </w:t>
            </w:r>
            <w:r w:rsidRPr="00932396">
              <w:rPr>
                <w:lang w:val="uk-UA"/>
              </w:rPr>
              <w:t xml:space="preserve"> Наказ Міністерства фінансів України від 30.06.2017 №610 «Про затвердження Порядку направлення контролюючими органами податкових вимог платникам податкі</w:t>
            </w:r>
            <w:proofErr w:type="gramStart"/>
            <w:r w:rsidRPr="00932396">
              <w:rPr>
                <w:lang w:val="uk-UA"/>
              </w:rPr>
              <w:t>в</w:t>
            </w:r>
            <w:proofErr w:type="gramEnd"/>
            <w:r w:rsidRPr="00932396">
              <w:rPr>
                <w:lang w:val="uk-UA"/>
              </w:rPr>
              <w:t>»</w:t>
            </w:r>
          </w:p>
          <w:p w:rsidR="003866FD" w:rsidRDefault="003866FD" w:rsidP="003866FD">
            <w:pPr>
              <w:ind w:left="176" w:right="100"/>
              <w:jc w:val="both"/>
              <w:rPr>
                <w:lang w:val="uk-UA"/>
              </w:rPr>
            </w:pPr>
            <w:r w:rsidRPr="00932396">
              <w:rPr>
                <w:lang w:val="uk-UA"/>
              </w:rPr>
              <w:t>9)      Наказ Міністерства фінансів України від 30.06.2017 №586 «Про затвердження Порядку застосування податкової застави контролюючими органами»</w:t>
            </w:r>
          </w:p>
          <w:p w:rsidR="00315F15" w:rsidRPr="00FB791F" w:rsidRDefault="003866FD" w:rsidP="00A558BF">
            <w:pPr>
              <w:tabs>
                <w:tab w:val="left" w:pos="309"/>
              </w:tabs>
              <w:contextualSpacing/>
              <w:jc w:val="both"/>
              <w:rPr>
                <w:lang w:val="en-US"/>
              </w:rPr>
            </w:pPr>
            <w:r>
              <w:rPr>
                <w:lang w:val="uk-UA"/>
              </w:rPr>
              <w:t xml:space="preserve">   1</w:t>
            </w:r>
            <w:r w:rsidR="00A558BF">
              <w:rPr>
                <w:lang w:val="uk-UA"/>
              </w:rPr>
              <w:t>0</w:t>
            </w:r>
            <w:r>
              <w:rPr>
                <w:lang w:val="uk-UA"/>
              </w:rPr>
              <w:t xml:space="preserve">) </w:t>
            </w:r>
            <w:r w:rsidRPr="007C13F9">
              <w:t xml:space="preserve">Правила </w:t>
            </w:r>
            <w:proofErr w:type="spellStart"/>
            <w:r w:rsidRPr="007C13F9">
              <w:t>етичної</w:t>
            </w:r>
            <w:proofErr w:type="spellEnd"/>
            <w:r w:rsidRPr="007C13F9">
              <w:t xml:space="preserve"> </w:t>
            </w:r>
            <w:proofErr w:type="spellStart"/>
            <w:r w:rsidRPr="007C13F9">
              <w:t>поведінки</w:t>
            </w:r>
            <w:proofErr w:type="spellEnd"/>
            <w:r w:rsidRPr="007C13F9">
              <w:t xml:space="preserve"> в органах ДПС</w:t>
            </w:r>
            <w:r w:rsidRPr="007C13F9">
              <w:rPr>
                <w:lang w:val="en-US"/>
              </w:rPr>
              <w:t>.</w:t>
            </w:r>
          </w:p>
        </w:tc>
      </w:tr>
    </w:tbl>
    <w:p w:rsidR="00B51A7F" w:rsidRPr="00327204" w:rsidRDefault="00B51A7F" w:rsidP="00E97FBE">
      <w:pPr>
        <w:rPr>
          <w:sz w:val="20"/>
          <w:szCs w:val="20"/>
          <w:lang w:val="uk-UA"/>
        </w:rPr>
      </w:pPr>
    </w:p>
    <w:p w:rsidR="005C483B" w:rsidRPr="00327204" w:rsidRDefault="005C483B" w:rsidP="00E97FBE">
      <w:pPr>
        <w:rPr>
          <w:sz w:val="16"/>
          <w:szCs w:val="16"/>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7C13F9" w:rsidRDefault="007C13F9" w:rsidP="007C13F9">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7C13F9" w:rsidRDefault="007C13F9" w:rsidP="007C13F9">
      <w:pPr>
        <w:rPr>
          <w:sz w:val="28"/>
          <w:szCs w:val="28"/>
          <w:lang w:val="en-US"/>
        </w:rPr>
      </w:pPr>
    </w:p>
    <w:p w:rsidR="007C13F9" w:rsidRPr="00072BB8" w:rsidRDefault="007C13F9" w:rsidP="007C13F9">
      <w:pPr>
        <w:autoSpaceDE w:val="0"/>
        <w:autoSpaceDN w:val="0"/>
        <w:adjustRightInd w:val="0"/>
        <w:ind w:left="-142" w:right="-102"/>
        <w:jc w:val="both"/>
        <w:rPr>
          <w:sz w:val="28"/>
          <w:szCs w:val="28"/>
          <w:lang w:val="uk-UA"/>
        </w:rPr>
      </w:pPr>
    </w:p>
    <w:p w:rsidR="006E2BF6" w:rsidRPr="00327204" w:rsidRDefault="006E2BF6" w:rsidP="007C13F9">
      <w:pPr>
        <w:autoSpaceDE w:val="0"/>
        <w:autoSpaceDN w:val="0"/>
        <w:adjustRightInd w:val="0"/>
        <w:jc w:val="both"/>
        <w:rPr>
          <w:sz w:val="28"/>
          <w:szCs w:val="28"/>
          <w:lang w:val="uk-UA"/>
        </w:rPr>
      </w:pP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0">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4">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3"/>
  </w:num>
  <w:num w:numId="5">
    <w:abstractNumId w:val="0"/>
  </w:num>
  <w:num w:numId="6">
    <w:abstractNumId w:val="8"/>
  </w:num>
  <w:num w:numId="7">
    <w:abstractNumId w:val="7"/>
  </w:num>
  <w:num w:numId="8">
    <w:abstractNumId w:val="4"/>
  </w:num>
  <w:num w:numId="9">
    <w:abstractNumId w:val="11"/>
  </w:num>
  <w:num w:numId="10">
    <w:abstractNumId w:val="13"/>
  </w:num>
  <w:num w:numId="11">
    <w:abstractNumId w:val="9"/>
  </w:num>
  <w:num w:numId="12">
    <w:abstractNumId w:val="5"/>
  </w:num>
  <w:num w:numId="13">
    <w:abstractNumId w:val="6"/>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749F7"/>
    <w:rsid w:val="00577AC2"/>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72BB"/>
    <w:rsid w:val="00681135"/>
    <w:rsid w:val="006976E9"/>
    <w:rsid w:val="006A0543"/>
    <w:rsid w:val="006A0C8E"/>
    <w:rsid w:val="006B10E0"/>
    <w:rsid w:val="006B50D2"/>
    <w:rsid w:val="006B555B"/>
    <w:rsid w:val="006C4237"/>
    <w:rsid w:val="006E2BF6"/>
    <w:rsid w:val="006E6840"/>
    <w:rsid w:val="00700B92"/>
    <w:rsid w:val="00703B25"/>
    <w:rsid w:val="00703CB6"/>
    <w:rsid w:val="00707EBF"/>
    <w:rsid w:val="0071352A"/>
    <w:rsid w:val="007302B1"/>
    <w:rsid w:val="00730CDF"/>
    <w:rsid w:val="007346A1"/>
    <w:rsid w:val="00760862"/>
    <w:rsid w:val="00765027"/>
    <w:rsid w:val="00767B06"/>
    <w:rsid w:val="0077399F"/>
    <w:rsid w:val="007853D9"/>
    <w:rsid w:val="00787811"/>
    <w:rsid w:val="00792B67"/>
    <w:rsid w:val="00794D21"/>
    <w:rsid w:val="007954DC"/>
    <w:rsid w:val="007A3E4B"/>
    <w:rsid w:val="007A749E"/>
    <w:rsid w:val="007B4285"/>
    <w:rsid w:val="007B6299"/>
    <w:rsid w:val="007C13F9"/>
    <w:rsid w:val="007C175E"/>
    <w:rsid w:val="007C57E1"/>
    <w:rsid w:val="007F1202"/>
    <w:rsid w:val="007F142F"/>
    <w:rsid w:val="007F1E18"/>
    <w:rsid w:val="007F59A6"/>
    <w:rsid w:val="007F7A61"/>
    <w:rsid w:val="0080167B"/>
    <w:rsid w:val="00816BFE"/>
    <w:rsid w:val="00833987"/>
    <w:rsid w:val="00835331"/>
    <w:rsid w:val="00843BF9"/>
    <w:rsid w:val="0085535C"/>
    <w:rsid w:val="00857C44"/>
    <w:rsid w:val="0086318B"/>
    <w:rsid w:val="00870249"/>
    <w:rsid w:val="00871FC9"/>
    <w:rsid w:val="00873BCE"/>
    <w:rsid w:val="008814CA"/>
    <w:rsid w:val="008847A6"/>
    <w:rsid w:val="00890363"/>
    <w:rsid w:val="00891A02"/>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1621E"/>
    <w:rsid w:val="00933FE9"/>
    <w:rsid w:val="00934F84"/>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D02C0"/>
    <w:rsid w:val="009D5742"/>
    <w:rsid w:val="009E496F"/>
    <w:rsid w:val="009E5BF3"/>
    <w:rsid w:val="009F601F"/>
    <w:rsid w:val="00A261BC"/>
    <w:rsid w:val="00A42FC1"/>
    <w:rsid w:val="00A520C2"/>
    <w:rsid w:val="00A5395A"/>
    <w:rsid w:val="00A558BF"/>
    <w:rsid w:val="00A6762B"/>
    <w:rsid w:val="00A67953"/>
    <w:rsid w:val="00A7183E"/>
    <w:rsid w:val="00A86134"/>
    <w:rsid w:val="00A868AC"/>
    <w:rsid w:val="00AA054D"/>
    <w:rsid w:val="00AA098E"/>
    <w:rsid w:val="00AA0F8E"/>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F3B38"/>
    <w:rsid w:val="00C2288C"/>
    <w:rsid w:val="00C22AD7"/>
    <w:rsid w:val="00C66D05"/>
    <w:rsid w:val="00C72845"/>
    <w:rsid w:val="00C85782"/>
    <w:rsid w:val="00C85F05"/>
    <w:rsid w:val="00C93293"/>
    <w:rsid w:val="00C95C1F"/>
    <w:rsid w:val="00CA7FBB"/>
    <w:rsid w:val="00CB3617"/>
    <w:rsid w:val="00CB3EE6"/>
    <w:rsid w:val="00CB6B0E"/>
    <w:rsid w:val="00CD4AEA"/>
    <w:rsid w:val="00CE1064"/>
    <w:rsid w:val="00CE1139"/>
    <w:rsid w:val="00CE4551"/>
    <w:rsid w:val="00CF6B06"/>
    <w:rsid w:val="00D228D2"/>
    <w:rsid w:val="00D5629E"/>
    <w:rsid w:val="00D660DE"/>
    <w:rsid w:val="00D838FF"/>
    <w:rsid w:val="00D87C7E"/>
    <w:rsid w:val="00DA0346"/>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F139A"/>
    <w:rsid w:val="00F10878"/>
    <w:rsid w:val="00F164F1"/>
    <w:rsid w:val="00F2455E"/>
    <w:rsid w:val="00F27DAD"/>
    <w:rsid w:val="00F346D2"/>
    <w:rsid w:val="00F442C9"/>
    <w:rsid w:val="00F44AB6"/>
    <w:rsid w:val="00F46F94"/>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4730-78C9-481A-89FD-AA204B1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952</Words>
  <Characters>6873</Characters>
  <Application>Microsoft Office Word</Application>
  <DocSecurity>0</DocSecurity>
  <Lines>57</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7810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2019-09-17T13:41:00Z</cp:lastPrinted>
  <dcterms:created xsi:type="dcterms:W3CDTF">2019-11-11T09:22:00Z</dcterms:created>
  <dcterms:modified xsi:type="dcterms:W3CDTF">2019-11-11T12:23:00Z</dcterms:modified>
</cp:coreProperties>
</file>