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DA3B0F">
        <w:rPr>
          <w:sz w:val="22"/>
          <w:szCs w:val="22"/>
          <w:lang w:val="uk-UA"/>
        </w:rPr>
        <w:t>9</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6F336C" w:rsidRPr="006F336C" w:rsidRDefault="003E451A" w:rsidP="000C794D">
      <w:pPr>
        <w:jc w:val="center"/>
        <w:rPr>
          <w:sz w:val="28"/>
          <w:szCs w:val="28"/>
          <w:lang w:val="uk-UA"/>
        </w:rPr>
      </w:pPr>
      <w:r w:rsidRPr="004038A8">
        <w:rPr>
          <w:sz w:val="28"/>
          <w:szCs w:val="28"/>
          <w:lang w:val="uk-UA"/>
        </w:rPr>
        <w:t>головного державного ревізора-інспектора відділу контролю за відшкодуванням ПДВ та камеральних перевірок податкової звітності управління податків і зборів з юридичних осіб</w:t>
      </w:r>
    </w:p>
    <w:p w:rsidR="00273F93" w:rsidRPr="006F336C" w:rsidRDefault="000F1C29" w:rsidP="000C794D">
      <w:pPr>
        <w:jc w:val="center"/>
        <w:rPr>
          <w:sz w:val="28"/>
          <w:szCs w:val="28"/>
          <w:lang w:val="uk-UA"/>
        </w:rPr>
      </w:pPr>
      <w:r w:rsidRPr="006F336C">
        <w:rPr>
          <w:sz w:val="28"/>
          <w:szCs w:val="28"/>
        </w:rPr>
        <w:t xml:space="preserve">Головного </w:t>
      </w:r>
      <w:proofErr w:type="spellStart"/>
      <w:r w:rsidRPr="006F336C">
        <w:rPr>
          <w:sz w:val="28"/>
          <w:szCs w:val="28"/>
        </w:rPr>
        <w:t>управління</w:t>
      </w:r>
      <w:proofErr w:type="spellEnd"/>
      <w:r w:rsidRPr="006F336C">
        <w:rPr>
          <w:sz w:val="28"/>
          <w:szCs w:val="28"/>
        </w:rPr>
        <w:t xml:space="preserve"> ДПС у </w:t>
      </w:r>
      <w:proofErr w:type="spellStart"/>
      <w:r w:rsidRPr="006F336C">
        <w:rPr>
          <w:sz w:val="28"/>
          <w:szCs w:val="28"/>
        </w:rPr>
        <w:t>Львівській</w:t>
      </w:r>
      <w:proofErr w:type="spellEnd"/>
      <w:r w:rsidRPr="006F336C">
        <w:rPr>
          <w:sz w:val="28"/>
          <w:szCs w:val="28"/>
        </w:rPr>
        <w:t xml:space="preserve"> </w:t>
      </w:r>
      <w:proofErr w:type="spellStart"/>
      <w:r w:rsidRPr="006F336C">
        <w:rPr>
          <w:sz w:val="28"/>
          <w:szCs w:val="28"/>
        </w:rPr>
        <w:t>област</w:t>
      </w:r>
      <w:proofErr w:type="spellEnd"/>
      <w:r w:rsidR="006F336C">
        <w:rPr>
          <w:sz w:val="28"/>
          <w:szCs w:val="28"/>
          <w:lang w:val="uk-UA"/>
        </w:rPr>
        <w:t>і</w:t>
      </w:r>
      <w:r w:rsidR="00DA3B0F">
        <w:rPr>
          <w:sz w:val="28"/>
          <w:szCs w:val="28"/>
          <w:lang w:val="uk-UA"/>
        </w:rPr>
        <w:t xml:space="preserve"> </w:t>
      </w:r>
      <w:r w:rsidR="00DA3B0F" w:rsidRPr="004038A8">
        <w:rPr>
          <w:sz w:val="28"/>
          <w:szCs w:val="28"/>
          <w:lang w:val="uk-UA"/>
        </w:rPr>
        <w:t xml:space="preserve">на час відпустки </w:t>
      </w:r>
      <w:proofErr w:type="gramStart"/>
      <w:r w:rsidR="00DA3B0F" w:rsidRPr="004038A8">
        <w:rPr>
          <w:sz w:val="28"/>
          <w:szCs w:val="28"/>
          <w:lang w:val="uk-UA"/>
        </w:rPr>
        <w:t>для</w:t>
      </w:r>
      <w:proofErr w:type="gramEnd"/>
      <w:r w:rsidR="00DA3B0F" w:rsidRPr="004038A8">
        <w:rPr>
          <w:sz w:val="28"/>
          <w:szCs w:val="28"/>
          <w:lang w:val="uk-UA"/>
        </w:rPr>
        <w:t xml:space="preserve"> </w:t>
      </w:r>
      <w:proofErr w:type="gramStart"/>
      <w:r w:rsidR="00DA3B0F" w:rsidRPr="004038A8">
        <w:rPr>
          <w:sz w:val="28"/>
          <w:szCs w:val="28"/>
          <w:lang w:val="uk-UA"/>
        </w:rPr>
        <w:t>догляду</w:t>
      </w:r>
      <w:proofErr w:type="gramEnd"/>
      <w:r w:rsidR="00DA3B0F" w:rsidRPr="004038A8">
        <w:rPr>
          <w:sz w:val="28"/>
          <w:szCs w:val="28"/>
          <w:lang w:val="uk-UA"/>
        </w:rPr>
        <w:t xml:space="preserve"> за дитиною основного працівника</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CE6DDD" w:rsidRPr="00E53486" w:rsidTr="00CE6DDD">
        <w:trPr>
          <w:trHeight w:val="139"/>
          <w:tblCellSpacing w:w="22" w:type="dxa"/>
        </w:trPr>
        <w:tc>
          <w:tcPr>
            <w:tcW w:w="1876" w:type="pct"/>
            <w:gridSpan w:val="2"/>
          </w:tcPr>
          <w:p w:rsidR="00CE6DDD" w:rsidRPr="00072BB8" w:rsidRDefault="00CE6DDD">
            <w:pPr>
              <w:pStyle w:val="a3"/>
              <w:rPr>
                <w:b/>
                <w:lang w:val="uk-UA"/>
              </w:rPr>
            </w:pPr>
            <w:r w:rsidRPr="00072BB8">
              <w:rPr>
                <w:b/>
                <w:lang w:val="uk-UA"/>
              </w:rPr>
              <w:t>Посадові обов’язки</w:t>
            </w:r>
          </w:p>
        </w:tc>
        <w:tc>
          <w:tcPr>
            <w:tcW w:w="3081" w:type="pct"/>
          </w:tcPr>
          <w:p w:rsidR="00CE6DDD" w:rsidRPr="00DF4226" w:rsidRDefault="00CE6DDD" w:rsidP="005919DD">
            <w:pPr>
              <w:jc w:val="both"/>
              <w:rPr>
                <w:lang w:val="uk-UA"/>
              </w:rPr>
            </w:pPr>
            <w:r>
              <w:rPr>
                <w:lang w:val="uk-UA"/>
              </w:rPr>
              <w:t>1.О</w:t>
            </w:r>
            <w:r w:rsidRPr="00DF4226">
              <w:rPr>
                <w:lang w:val="uk-UA"/>
              </w:rPr>
              <w:t>рганізація та проведення камеральних перевірок суб’єктів господарювання щодо достовірності нарахування бюджетного відшкодування ПДВ</w:t>
            </w:r>
            <w:r>
              <w:rPr>
                <w:lang w:val="uk-UA"/>
              </w:rPr>
              <w:t>.</w:t>
            </w:r>
          </w:p>
          <w:p w:rsidR="00CE6DDD" w:rsidRPr="00DF4226" w:rsidRDefault="00CE6DDD" w:rsidP="005919DD">
            <w:pPr>
              <w:jc w:val="both"/>
              <w:rPr>
                <w:lang w:val="uk-UA"/>
              </w:rPr>
            </w:pPr>
            <w:r>
              <w:rPr>
                <w:lang w:val="uk-UA"/>
              </w:rPr>
              <w:t>2.</w:t>
            </w:r>
            <w:r w:rsidRPr="00DF4226">
              <w:rPr>
                <w:lang w:val="uk-UA"/>
              </w:rPr>
              <w:t> </w:t>
            </w:r>
            <w:r>
              <w:rPr>
                <w:lang w:val="uk-UA"/>
              </w:rPr>
              <w:t>У</w:t>
            </w:r>
            <w:r w:rsidRPr="00DF4226">
              <w:rPr>
                <w:lang w:val="uk-UA"/>
              </w:rPr>
              <w:t>згодження обсягів сум бюджетного відшкодування ПДВ</w:t>
            </w:r>
            <w:r>
              <w:rPr>
                <w:lang w:val="uk-UA"/>
              </w:rPr>
              <w:t>.</w:t>
            </w:r>
          </w:p>
          <w:p w:rsidR="00CE6DDD" w:rsidRPr="00DF4226" w:rsidRDefault="00CE6DDD" w:rsidP="005919DD">
            <w:pPr>
              <w:jc w:val="both"/>
              <w:rPr>
                <w:lang w:val="uk-UA"/>
              </w:rPr>
            </w:pPr>
            <w:r>
              <w:rPr>
                <w:lang w:val="uk-UA"/>
              </w:rPr>
              <w:t>3.</w:t>
            </w:r>
            <w:r w:rsidRPr="00DF4226">
              <w:rPr>
                <w:lang w:val="uk-UA"/>
              </w:rPr>
              <w:t> </w:t>
            </w:r>
            <w:r>
              <w:rPr>
                <w:lang w:val="uk-UA"/>
              </w:rPr>
              <w:t>М</w:t>
            </w:r>
            <w:r w:rsidRPr="00DF4226">
              <w:rPr>
                <w:lang w:val="uk-UA"/>
              </w:rPr>
              <w:t>оніторинг сум ПДВ, заявлених до бюджетного відшкодування, аналіз їх динаміки</w:t>
            </w:r>
            <w:r>
              <w:rPr>
                <w:lang w:val="uk-UA"/>
              </w:rPr>
              <w:t>.</w:t>
            </w:r>
          </w:p>
          <w:p w:rsidR="00CE6DDD" w:rsidRPr="00DF4226" w:rsidRDefault="00CE6DDD" w:rsidP="005919DD">
            <w:pPr>
              <w:jc w:val="both"/>
              <w:rPr>
                <w:lang w:val="uk-UA"/>
              </w:rPr>
            </w:pPr>
            <w:r>
              <w:rPr>
                <w:lang w:val="uk-UA"/>
              </w:rPr>
              <w:t>4.</w:t>
            </w:r>
            <w:r w:rsidRPr="00DF4226">
              <w:rPr>
                <w:lang w:val="uk-UA"/>
              </w:rPr>
              <w:t> </w:t>
            </w:r>
            <w:r>
              <w:rPr>
                <w:lang w:val="uk-UA"/>
              </w:rPr>
              <w:t>А</w:t>
            </w:r>
            <w:r w:rsidRPr="00DF4226">
              <w:rPr>
                <w:lang w:val="uk-UA"/>
              </w:rPr>
              <w:t>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r>
              <w:rPr>
                <w:lang w:val="uk-UA"/>
              </w:rPr>
              <w:t>.</w:t>
            </w:r>
          </w:p>
          <w:p w:rsidR="00CE6DDD" w:rsidRPr="00DF4226" w:rsidRDefault="00CE6DDD" w:rsidP="005919DD">
            <w:pPr>
              <w:jc w:val="both"/>
              <w:rPr>
                <w:lang w:val="uk-UA"/>
              </w:rPr>
            </w:pPr>
            <w:r>
              <w:rPr>
                <w:lang w:val="uk-UA"/>
              </w:rPr>
              <w:t>5.</w:t>
            </w:r>
            <w:r w:rsidRPr="00DF4226">
              <w:rPr>
                <w:lang w:val="uk-UA"/>
              </w:rPr>
              <w:t> </w:t>
            </w:r>
            <w:r>
              <w:rPr>
                <w:lang w:val="uk-UA"/>
              </w:rPr>
              <w:t>А</w:t>
            </w:r>
            <w:r w:rsidRPr="00DF4226">
              <w:rPr>
                <w:lang w:val="uk-UA"/>
              </w:rPr>
              <w:t>наліз та узгодження підтвердження сум ПДВ, заявлених на поточний рахунок платника податку та/або у рахунок сплати грошових зобов'язань або погашення податкового боргу такого платника податку з інших платежів, що сплачуються до державного бюджету, та контроль за її підтвердженням у розрізі Реєстру заяв про повернення суми бюджетного відшкодування платникам податку і тимчасового реєстру заяв про повернення суми бюджетного відшкодування</w:t>
            </w:r>
            <w:r>
              <w:rPr>
                <w:lang w:val="uk-UA"/>
              </w:rPr>
              <w:t>.</w:t>
            </w:r>
          </w:p>
          <w:p w:rsidR="00CE6DDD" w:rsidRPr="00DF4226" w:rsidRDefault="00CE6DDD" w:rsidP="005919DD">
            <w:pPr>
              <w:jc w:val="both"/>
              <w:rPr>
                <w:lang w:val="uk-UA"/>
              </w:rPr>
            </w:pPr>
            <w:r>
              <w:rPr>
                <w:lang w:val="uk-UA"/>
              </w:rPr>
              <w:t>6.</w:t>
            </w:r>
            <w:r w:rsidRPr="00DF4226">
              <w:rPr>
                <w:lang w:val="uk-UA"/>
              </w:rPr>
              <w:t> </w:t>
            </w:r>
            <w:r>
              <w:rPr>
                <w:lang w:val="uk-UA"/>
              </w:rPr>
              <w:t>О</w:t>
            </w:r>
            <w:r w:rsidRPr="00DF4226">
              <w:rPr>
                <w:lang w:val="uk-UA"/>
              </w:rPr>
              <w:t>рганізація та проведення документальних перевірок та зустрічних звірок суб’єктів господарювання щодо визначення достовірності нарахування бюджетного відшкодування ПДВ</w:t>
            </w:r>
            <w:r>
              <w:rPr>
                <w:lang w:val="uk-UA"/>
              </w:rPr>
              <w:t>.</w:t>
            </w:r>
          </w:p>
          <w:p w:rsidR="00CE6DDD" w:rsidRPr="00DF4226" w:rsidRDefault="00CE6DDD" w:rsidP="005919DD">
            <w:pPr>
              <w:jc w:val="both"/>
              <w:rPr>
                <w:lang w:val="uk-UA"/>
              </w:rPr>
            </w:pPr>
            <w:r>
              <w:rPr>
                <w:lang w:val="uk-UA"/>
              </w:rPr>
              <w:t>7. О</w:t>
            </w:r>
            <w:r w:rsidRPr="00DF4226">
              <w:rPr>
                <w:lang w:val="uk-UA"/>
              </w:rPr>
              <w:t>рганізація та проведення роботи щодо внесення до реєстру заяв про повернення суми бюджетного відшкодування податку на додану вартість даних про:</w:t>
            </w:r>
          </w:p>
          <w:p w:rsidR="00CE6DDD" w:rsidRPr="00DF4226" w:rsidRDefault="00CE6DDD" w:rsidP="005919DD">
            <w:pPr>
              <w:jc w:val="both"/>
              <w:rPr>
                <w:lang w:val="uk-UA"/>
              </w:rPr>
            </w:pPr>
            <w:r>
              <w:rPr>
                <w:lang w:val="uk-UA"/>
              </w:rPr>
              <w:t>- п</w:t>
            </w:r>
            <w:r w:rsidRPr="00DF4226">
              <w:rPr>
                <w:lang w:val="uk-UA"/>
              </w:rPr>
              <w:t>оказники звітності платника податку щодо даних в заяві про повернення суми бюджетного відшкодування податку на додану вартість та сум податку, заявленого до бюджетного відшкодування, зазначену в кожній заяві, поданій у складі податкової декларації або уточнюючого розрахунку (у разі їх подання)</w:t>
            </w:r>
            <w:r>
              <w:rPr>
                <w:lang w:val="uk-UA"/>
              </w:rPr>
              <w:t>.</w:t>
            </w:r>
          </w:p>
          <w:p w:rsidR="00CE6DDD" w:rsidRPr="00DF4226" w:rsidRDefault="00CE6DDD" w:rsidP="005919DD">
            <w:pPr>
              <w:jc w:val="both"/>
              <w:rPr>
                <w:lang w:val="uk-UA"/>
              </w:rPr>
            </w:pPr>
            <w:r>
              <w:rPr>
                <w:lang w:val="uk-UA"/>
              </w:rPr>
              <w:t xml:space="preserve"> - і</w:t>
            </w:r>
            <w:r w:rsidRPr="00DF4226">
              <w:rPr>
                <w:lang w:val="uk-UA"/>
              </w:rPr>
              <w:t>нформацію щодо проведення перевірок достовірності нарахування бюджетного відшкодування ПДВ та їх результатів</w:t>
            </w:r>
            <w:r>
              <w:rPr>
                <w:lang w:val="uk-UA"/>
              </w:rPr>
              <w:t>.</w:t>
            </w:r>
          </w:p>
          <w:p w:rsidR="00CE6DDD" w:rsidRPr="00DF4226" w:rsidRDefault="00CE6DDD" w:rsidP="005919DD">
            <w:pPr>
              <w:jc w:val="both"/>
              <w:rPr>
                <w:lang w:val="uk-UA"/>
              </w:rPr>
            </w:pPr>
            <w:r w:rsidRPr="00DF4226">
              <w:rPr>
                <w:lang w:val="uk-UA"/>
              </w:rPr>
              <w:lastRenderedPageBreak/>
              <w:t xml:space="preserve">  </w:t>
            </w:r>
            <w:proofErr w:type="spellStart"/>
            <w:r w:rsidRPr="00DF4226">
              <w:rPr>
                <w:lang w:val="uk-UA"/>
              </w:rPr>
              <w:t>-результати</w:t>
            </w:r>
            <w:proofErr w:type="spellEnd"/>
            <w:r w:rsidRPr="00DF4226">
              <w:rPr>
                <w:lang w:val="uk-UA"/>
              </w:rPr>
              <w:t xml:space="preserve"> адміністративного або судового оскарження та відображення сум бюджетного відшкодування податку після закінчення або набрання законної сили рішенням суду</w:t>
            </w:r>
            <w:r>
              <w:rPr>
                <w:lang w:val="uk-UA"/>
              </w:rPr>
              <w:t>.</w:t>
            </w:r>
          </w:p>
          <w:p w:rsidR="00CE6DDD" w:rsidRPr="00DF4226" w:rsidRDefault="00CE6DDD" w:rsidP="005919DD">
            <w:pPr>
              <w:jc w:val="both"/>
              <w:rPr>
                <w:lang w:val="uk-UA"/>
              </w:rPr>
            </w:pPr>
            <w:r w:rsidRPr="00DF4226">
              <w:rPr>
                <w:lang w:val="uk-UA"/>
              </w:rPr>
              <w:t xml:space="preserve">  </w:t>
            </w:r>
            <w:proofErr w:type="spellStart"/>
            <w:r w:rsidRPr="00DF4226">
              <w:rPr>
                <w:lang w:val="uk-UA"/>
              </w:rPr>
              <w:t>-суму</w:t>
            </w:r>
            <w:proofErr w:type="spellEnd"/>
            <w:r w:rsidRPr="00DF4226">
              <w:rPr>
                <w:lang w:val="uk-UA"/>
              </w:rPr>
              <w:t xml:space="preserve"> узгодженого органом Д</w:t>
            </w:r>
            <w:r w:rsidR="002C464F">
              <w:rPr>
                <w:lang w:val="uk-UA"/>
              </w:rPr>
              <w:t>П</w:t>
            </w:r>
            <w:r w:rsidRPr="00DF4226">
              <w:rPr>
                <w:lang w:val="uk-UA"/>
              </w:rPr>
              <w:t>С бюджетного відшкодування за кожною заявою та дату її узгодження</w:t>
            </w:r>
            <w:r>
              <w:rPr>
                <w:lang w:val="uk-UA"/>
              </w:rPr>
              <w:t>.</w:t>
            </w:r>
          </w:p>
          <w:p w:rsidR="00CE6DDD" w:rsidRPr="00DF4226" w:rsidRDefault="00CE6DDD" w:rsidP="005919DD">
            <w:pPr>
              <w:jc w:val="both"/>
              <w:rPr>
                <w:lang w:val="uk-UA"/>
              </w:rPr>
            </w:pPr>
            <w:r w:rsidRPr="00DF4226">
              <w:rPr>
                <w:lang w:val="uk-UA"/>
              </w:rPr>
              <w:t xml:space="preserve">  </w:t>
            </w:r>
            <w:proofErr w:type="spellStart"/>
            <w:r w:rsidRPr="00DF4226">
              <w:rPr>
                <w:lang w:val="uk-UA"/>
              </w:rPr>
              <w:t>-реквізити</w:t>
            </w:r>
            <w:proofErr w:type="spellEnd"/>
            <w:r w:rsidRPr="00DF4226">
              <w:rPr>
                <w:lang w:val="uk-UA"/>
              </w:rPr>
              <w:t xml:space="preserve"> поточного рахунка платника податку та бюджетних рахунків для перерахування бюджетного відшкодування, бюджетного відшкодування у рахунок сплати грошових зобов’язань або погашення податкового боргу такого платника податку з інших платежів, що сплачуються до державного бюджету</w:t>
            </w:r>
            <w:r>
              <w:rPr>
                <w:lang w:val="uk-UA"/>
              </w:rPr>
              <w:t>.</w:t>
            </w:r>
          </w:p>
          <w:p w:rsidR="00CE6DDD" w:rsidRPr="00DF4226" w:rsidRDefault="00CE6DDD" w:rsidP="005919DD">
            <w:pPr>
              <w:jc w:val="both"/>
              <w:rPr>
                <w:lang w:val="uk-UA"/>
              </w:rPr>
            </w:pPr>
            <w:r w:rsidRPr="00DF4226">
              <w:rPr>
                <w:lang w:val="uk-UA"/>
              </w:rPr>
              <w:t>- суму бюджетного відшкодування, повернуту за рішенням суду</w:t>
            </w:r>
            <w:r>
              <w:rPr>
                <w:lang w:val="uk-UA"/>
              </w:rPr>
              <w:t>.</w:t>
            </w:r>
          </w:p>
          <w:p w:rsidR="00CE6DDD" w:rsidRPr="00DF4226" w:rsidRDefault="00CE6DDD" w:rsidP="005919DD">
            <w:pPr>
              <w:jc w:val="both"/>
              <w:rPr>
                <w:lang w:val="uk-UA"/>
              </w:rPr>
            </w:pPr>
            <w:r>
              <w:rPr>
                <w:lang w:val="uk-UA"/>
              </w:rPr>
              <w:t>8.З</w:t>
            </w:r>
            <w:r w:rsidRPr="00DF4226">
              <w:rPr>
                <w:lang w:val="uk-UA"/>
              </w:rPr>
              <w:t>дійснення інших повноважень, передбачених посадовою інструкцією та положенням про структурний підрозділ</w:t>
            </w:r>
            <w:r>
              <w:rPr>
                <w:lang w:val="uk-UA"/>
              </w:rPr>
              <w:t>.</w:t>
            </w:r>
          </w:p>
        </w:tc>
      </w:tr>
      <w:tr w:rsidR="00CE6DDD" w:rsidRPr="00072BB8" w:rsidTr="00CE6DDD">
        <w:trPr>
          <w:trHeight w:val="139"/>
          <w:tblCellSpacing w:w="22" w:type="dxa"/>
        </w:trPr>
        <w:tc>
          <w:tcPr>
            <w:tcW w:w="1876" w:type="pct"/>
            <w:gridSpan w:val="2"/>
          </w:tcPr>
          <w:p w:rsidR="00CE6DDD" w:rsidRPr="00072BB8" w:rsidRDefault="00CE6DDD" w:rsidP="006C7EB5">
            <w:pPr>
              <w:pStyle w:val="a3"/>
              <w:spacing w:before="0" w:beforeAutospacing="0" w:after="0" w:afterAutospacing="0"/>
              <w:rPr>
                <w:b/>
                <w:lang w:val="uk-UA"/>
              </w:rPr>
            </w:pPr>
            <w:r w:rsidRPr="00072BB8">
              <w:rPr>
                <w:b/>
                <w:lang w:val="uk-UA"/>
              </w:rPr>
              <w:lastRenderedPageBreak/>
              <w:t>Умови оплати праці</w:t>
            </w:r>
          </w:p>
        </w:tc>
        <w:tc>
          <w:tcPr>
            <w:tcW w:w="3081" w:type="pct"/>
          </w:tcPr>
          <w:p w:rsidR="00CE6DDD" w:rsidRPr="00F459C7" w:rsidRDefault="00CE6DDD" w:rsidP="005919DD">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CE6DDD" w:rsidRPr="00072BB8" w:rsidTr="00CE6DDD">
        <w:trPr>
          <w:trHeight w:val="139"/>
          <w:tblCellSpacing w:w="22" w:type="dxa"/>
        </w:trPr>
        <w:tc>
          <w:tcPr>
            <w:tcW w:w="1876" w:type="pct"/>
            <w:gridSpan w:val="2"/>
          </w:tcPr>
          <w:p w:rsidR="00CE6DDD" w:rsidRPr="00072BB8" w:rsidRDefault="00CE6DDD">
            <w:pPr>
              <w:pStyle w:val="a3"/>
              <w:rPr>
                <w:b/>
                <w:lang w:val="uk-UA"/>
              </w:rPr>
            </w:pPr>
            <w:r w:rsidRPr="00072BB8">
              <w:rPr>
                <w:b/>
                <w:lang w:val="uk-UA"/>
              </w:rPr>
              <w:t>Інформація про строковість чи безстроковість призначення на посаду</w:t>
            </w:r>
          </w:p>
        </w:tc>
        <w:tc>
          <w:tcPr>
            <w:tcW w:w="3081" w:type="pct"/>
          </w:tcPr>
          <w:p w:rsidR="00CE6DDD" w:rsidRPr="00E60587" w:rsidRDefault="00CE6DDD" w:rsidP="004A2982">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en-US"/>
              </w:rPr>
              <w:t>21</w:t>
            </w:r>
            <w:r w:rsidRPr="005130BF">
              <w:rPr>
                <w:rStyle w:val="rvts15"/>
                <w:lang w:val="uk-UA"/>
              </w:rPr>
              <w:t>.0</w:t>
            </w:r>
            <w:r>
              <w:rPr>
                <w:rStyle w:val="rvts15"/>
                <w:lang w:val="en-US"/>
              </w:rPr>
              <w:t>6</w:t>
            </w:r>
            <w:r w:rsidRPr="005130BF">
              <w:rPr>
                <w:rStyle w:val="rvts15"/>
                <w:lang w:val="uk-UA"/>
              </w:rPr>
              <w:t>.20</w:t>
            </w:r>
            <w:r>
              <w:rPr>
                <w:rStyle w:val="rvts15"/>
                <w:lang w:val="uk-UA"/>
              </w:rPr>
              <w:t>2</w:t>
            </w:r>
            <w:r>
              <w:rPr>
                <w:rStyle w:val="rvts15"/>
                <w:lang w:val="en-US"/>
              </w:rPr>
              <w:t>1</w:t>
            </w:r>
            <w:r w:rsidRPr="005130BF">
              <w:rPr>
                <w:rStyle w:val="rvts15"/>
                <w:lang w:val="uk-UA"/>
              </w:rPr>
              <w:t>)</w:t>
            </w:r>
            <w:r w:rsidRPr="00072BB8">
              <w:rPr>
                <w:lang w:val="uk-UA"/>
              </w:rPr>
              <w:t>.</w:t>
            </w:r>
          </w:p>
        </w:tc>
      </w:tr>
      <w:tr w:rsidR="00CE6DDD" w:rsidRPr="00072BB8" w:rsidTr="00CE6DDD">
        <w:trPr>
          <w:trHeight w:val="139"/>
          <w:tblCellSpacing w:w="22" w:type="dxa"/>
        </w:trPr>
        <w:tc>
          <w:tcPr>
            <w:tcW w:w="1876" w:type="pct"/>
            <w:gridSpan w:val="2"/>
          </w:tcPr>
          <w:p w:rsidR="00CE6DDD" w:rsidRPr="00072BB8" w:rsidRDefault="00CE6DD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1" w:type="pct"/>
          </w:tcPr>
          <w:p w:rsidR="00CE6DDD" w:rsidRPr="00072BB8" w:rsidRDefault="00CE6DDD"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CE6DDD" w:rsidRPr="00072BB8" w:rsidRDefault="00CE6DDD"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CE6DDD" w:rsidRPr="00072BB8" w:rsidRDefault="00CE6DDD"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CE6DDD" w:rsidRPr="00072BB8" w:rsidRDefault="00CE6DDD"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CE6DDD" w:rsidRPr="00072BB8" w:rsidRDefault="00CE6DDD"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CE6DDD" w:rsidRPr="00072BB8" w:rsidRDefault="00CE6DDD"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CE6DDD" w:rsidRPr="00072BB8" w:rsidRDefault="00CE6DDD"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CE6DDD" w:rsidRPr="00072BB8" w:rsidRDefault="00CE6DDD"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E6DDD" w:rsidRPr="00072BB8" w:rsidRDefault="00CE6DDD" w:rsidP="006B0DF3">
            <w:pPr>
              <w:jc w:val="both"/>
              <w:rPr>
                <w:sz w:val="10"/>
                <w:szCs w:val="10"/>
                <w:lang w:val="uk-UA" w:eastAsia="uk-UA"/>
              </w:rPr>
            </w:pPr>
          </w:p>
          <w:p w:rsidR="00CE6DDD" w:rsidRPr="00072BB8" w:rsidRDefault="00CE6DDD"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CE6DDD" w:rsidRPr="00072BB8" w:rsidRDefault="00CE6DDD" w:rsidP="006B0DF3">
            <w:pPr>
              <w:jc w:val="both"/>
              <w:rPr>
                <w:sz w:val="10"/>
                <w:szCs w:val="10"/>
                <w:lang w:val="uk-UA" w:eastAsia="uk-UA"/>
              </w:rPr>
            </w:pPr>
          </w:p>
          <w:p w:rsidR="00CE6DDD" w:rsidRPr="00072BB8" w:rsidRDefault="00CE6DDD"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CE6DDD" w:rsidRPr="00072BB8" w:rsidRDefault="00CE6DDD" w:rsidP="006B0DF3">
            <w:pPr>
              <w:tabs>
                <w:tab w:val="left" w:pos="1342"/>
              </w:tabs>
              <w:jc w:val="both"/>
              <w:rPr>
                <w:sz w:val="10"/>
                <w:szCs w:val="10"/>
                <w:lang w:val="uk-UA"/>
              </w:rPr>
            </w:pPr>
          </w:p>
          <w:p w:rsidR="00CE6DDD" w:rsidRPr="004A2982" w:rsidRDefault="00CE6DDD" w:rsidP="004A2982">
            <w:pPr>
              <w:jc w:val="both"/>
              <w:rPr>
                <w:lang w:val="uk-UA" w:eastAsia="uk-UA"/>
              </w:rPr>
            </w:pPr>
            <w:r w:rsidRPr="004A2982">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4A2982">
                <w:t xml:space="preserve"> </w:t>
              </w:r>
              <w:r w:rsidRPr="004A2982">
                <w:rPr>
                  <w:lang w:eastAsia="uk-UA"/>
                </w:rPr>
                <w:t>79003, м</w:t>
              </w:r>
            </w:smartTag>
            <w:r w:rsidRPr="004A2982">
              <w:rPr>
                <w:lang w:eastAsia="uk-UA"/>
              </w:rPr>
              <w:t xml:space="preserve">. </w:t>
            </w:r>
            <w:proofErr w:type="spellStart"/>
            <w:r w:rsidRPr="004A2982">
              <w:rPr>
                <w:lang w:eastAsia="uk-UA"/>
              </w:rPr>
              <w:t>Львів</w:t>
            </w:r>
            <w:proofErr w:type="spellEnd"/>
            <w:r w:rsidRPr="004A2982">
              <w:rPr>
                <w:lang w:eastAsia="uk-UA"/>
              </w:rPr>
              <w:t xml:space="preserve">, </w:t>
            </w:r>
            <w:proofErr w:type="spellStart"/>
            <w:r w:rsidRPr="004A2982">
              <w:rPr>
                <w:lang w:eastAsia="uk-UA"/>
              </w:rPr>
              <w:t>вул</w:t>
            </w:r>
            <w:proofErr w:type="spellEnd"/>
            <w:r w:rsidRPr="004A2982">
              <w:rPr>
                <w:lang w:eastAsia="uk-UA"/>
              </w:rPr>
              <w:t xml:space="preserve"> </w:t>
            </w:r>
            <w:proofErr w:type="spellStart"/>
            <w:r w:rsidRPr="004A2982">
              <w:rPr>
                <w:lang w:eastAsia="uk-UA"/>
              </w:rPr>
              <w:t>Стрийська</w:t>
            </w:r>
            <w:proofErr w:type="spellEnd"/>
            <w:r w:rsidRPr="004A2982">
              <w:rPr>
                <w:lang w:eastAsia="uk-UA"/>
              </w:rPr>
              <w:t xml:space="preserve">, 35 </w:t>
            </w:r>
            <w:proofErr w:type="spellStart"/>
            <w:r w:rsidRPr="004A2982">
              <w:t>із</w:t>
            </w:r>
            <w:proofErr w:type="spellEnd"/>
            <w:r w:rsidRPr="004A2982">
              <w:t xml:space="preserve"> </w:t>
            </w:r>
            <w:proofErr w:type="spellStart"/>
            <w:r w:rsidRPr="004A2982">
              <w:t>позначкою</w:t>
            </w:r>
            <w:proofErr w:type="spellEnd"/>
            <w:r w:rsidRPr="004A2982">
              <w:t xml:space="preserve"> «</w:t>
            </w:r>
            <w:proofErr w:type="spellStart"/>
            <w:r w:rsidRPr="004A2982">
              <w:t>Документи</w:t>
            </w:r>
            <w:proofErr w:type="spellEnd"/>
            <w:r w:rsidRPr="004A2982">
              <w:t xml:space="preserve"> для </w:t>
            </w:r>
            <w:proofErr w:type="spellStart"/>
            <w:r w:rsidRPr="004A2982">
              <w:t>участі</w:t>
            </w:r>
            <w:proofErr w:type="spellEnd"/>
            <w:r w:rsidRPr="004A2982">
              <w:t xml:space="preserve"> у </w:t>
            </w:r>
            <w:proofErr w:type="spellStart"/>
            <w:r w:rsidRPr="004A2982">
              <w:t>конкурсі</w:t>
            </w:r>
            <w:proofErr w:type="spellEnd"/>
            <w:r w:rsidRPr="004A2982">
              <w:t xml:space="preserve"> на</w:t>
            </w:r>
            <w:r w:rsidR="0051564C">
              <w:rPr>
                <w:lang w:val="uk-UA"/>
              </w:rPr>
              <w:t xml:space="preserve"> посаду</w:t>
            </w:r>
            <w:r w:rsidRPr="004A2982">
              <w:t xml:space="preserve"> </w:t>
            </w:r>
            <w:r w:rsidRPr="004A2982">
              <w:rPr>
                <w:lang w:val="uk-UA"/>
              </w:rPr>
              <w:t>головного державного ревізор</w:t>
            </w:r>
            <w:proofErr w:type="gramStart"/>
            <w:r w:rsidRPr="004A2982">
              <w:rPr>
                <w:lang w:val="uk-UA"/>
              </w:rPr>
              <w:t>а-</w:t>
            </w:r>
            <w:proofErr w:type="gramEnd"/>
            <w:r w:rsidRPr="004A2982">
              <w:rPr>
                <w:lang w:val="uk-UA"/>
              </w:rPr>
              <w:t>інспектора відділу контролю за відшкодуванням ПДВ та камеральних перевірок податкової звітності управління податків і зборів з юридичних осіб</w:t>
            </w:r>
            <w:r>
              <w:rPr>
                <w:lang w:val="uk-UA"/>
              </w:rPr>
              <w:t xml:space="preserve"> </w:t>
            </w:r>
            <w:r w:rsidRPr="004A2982">
              <w:rPr>
                <w:rStyle w:val="rvts15"/>
                <w:lang w:val="uk-UA"/>
              </w:rPr>
              <w:t>Головного управління ДПС у Львівській області</w:t>
            </w:r>
            <w:r w:rsidRPr="004A2982">
              <w:rPr>
                <w:lang w:val="uk-UA"/>
              </w:rPr>
              <w:t xml:space="preserve"> на час відпустки для догляду за дитиною основного працівника</w:t>
            </w:r>
            <w:r w:rsidRPr="004A2982">
              <w:rPr>
                <w:lang w:val="uk-UA" w:eastAsia="uk-UA"/>
              </w:rPr>
              <w:t>».</w:t>
            </w:r>
            <w:r w:rsidRPr="004A2982">
              <w:rPr>
                <w:lang w:eastAsia="uk-UA"/>
              </w:rPr>
              <w:t xml:space="preserve"> </w:t>
            </w:r>
          </w:p>
          <w:p w:rsidR="00CE6DDD" w:rsidRPr="00072BB8" w:rsidRDefault="00CE6DDD" w:rsidP="006B0DF3">
            <w:pPr>
              <w:pStyle w:val="rvps2"/>
              <w:spacing w:before="0" w:beforeAutospacing="0" w:after="0" w:afterAutospacing="0"/>
              <w:jc w:val="both"/>
              <w:rPr>
                <w:sz w:val="10"/>
                <w:szCs w:val="10"/>
                <w:lang w:val="uk-UA"/>
              </w:rPr>
            </w:pPr>
          </w:p>
          <w:p w:rsidR="00CE6DDD" w:rsidRPr="00072BB8" w:rsidRDefault="00CE6DDD"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CE6DDD" w:rsidRPr="00072BB8" w:rsidRDefault="00CE6DDD"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CE6DDD" w:rsidRPr="00072BB8" w:rsidTr="00CE6DDD">
        <w:trPr>
          <w:trHeight w:val="616"/>
          <w:tblCellSpacing w:w="22" w:type="dxa"/>
        </w:trPr>
        <w:tc>
          <w:tcPr>
            <w:tcW w:w="1876" w:type="pct"/>
            <w:gridSpan w:val="2"/>
          </w:tcPr>
          <w:p w:rsidR="00CE6DDD" w:rsidRPr="00072BB8" w:rsidRDefault="00CE6DDD" w:rsidP="006C7EB5">
            <w:pPr>
              <w:pStyle w:val="a3"/>
              <w:rPr>
                <w:b/>
                <w:lang w:val="uk-UA"/>
              </w:rPr>
            </w:pPr>
            <w:r w:rsidRPr="00072BB8">
              <w:rPr>
                <w:b/>
                <w:lang w:val="uk-UA"/>
              </w:rPr>
              <w:lastRenderedPageBreak/>
              <w:t>Додаткові (необов’язкові документи)</w:t>
            </w:r>
          </w:p>
        </w:tc>
        <w:tc>
          <w:tcPr>
            <w:tcW w:w="3081" w:type="pct"/>
          </w:tcPr>
          <w:p w:rsidR="00CE6DDD" w:rsidRPr="00072BB8" w:rsidRDefault="00CE6DDD"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E6DDD" w:rsidRPr="00072BB8" w:rsidTr="00CE6DDD">
        <w:trPr>
          <w:trHeight w:val="557"/>
          <w:tblCellSpacing w:w="22" w:type="dxa"/>
        </w:trPr>
        <w:tc>
          <w:tcPr>
            <w:tcW w:w="1876" w:type="pct"/>
            <w:gridSpan w:val="2"/>
          </w:tcPr>
          <w:p w:rsidR="00CE6DDD" w:rsidRPr="00072BB8" w:rsidRDefault="00CE6DDD" w:rsidP="009A4645">
            <w:pPr>
              <w:pStyle w:val="a3"/>
              <w:rPr>
                <w:b/>
                <w:lang w:val="uk-UA"/>
              </w:rPr>
            </w:pPr>
            <w:r w:rsidRPr="00072BB8">
              <w:rPr>
                <w:b/>
                <w:lang w:val="uk-UA"/>
              </w:rPr>
              <w:t>Місце, час і дата початку проведення тестування</w:t>
            </w:r>
          </w:p>
        </w:tc>
        <w:tc>
          <w:tcPr>
            <w:tcW w:w="3081" w:type="pct"/>
          </w:tcPr>
          <w:p w:rsidR="00CE6DDD" w:rsidRPr="00072BB8" w:rsidRDefault="00CE6DDD"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CE6DDD" w:rsidRPr="00072BB8" w:rsidTr="00CE6DDD">
        <w:trPr>
          <w:trHeight w:val="1142"/>
          <w:tblCellSpacing w:w="22" w:type="dxa"/>
        </w:trPr>
        <w:tc>
          <w:tcPr>
            <w:tcW w:w="1876" w:type="pct"/>
            <w:gridSpan w:val="2"/>
          </w:tcPr>
          <w:p w:rsidR="00CE6DDD" w:rsidRPr="00072BB8" w:rsidRDefault="00CE6DD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CE6DDD" w:rsidRDefault="00CE6DD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CE6DDD" w:rsidRDefault="00CE6DD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CE6DDD" w:rsidRPr="00072BB8" w:rsidRDefault="00CE6DD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CE6DDD" w:rsidRPr="00072BB8" w:rsidTr="000E1637">
        <w:trPr>
          <w:trHeight w:val="139"/>
          <w:tblCellSpacing w:w="22" w:type="dxa"/>
        </w:trPr>
        <w:tc>
          <w:tcPr>
            <w:tcW w:w="4971" w:type="pct"/>
            <w:gridSpan w:val="3"/>
          </w:tcPr>
          <w:p w:rsidR="00CE6DDD" w:rsidRPr="00072BB8" w:rsidRDefault="00CE6DDD">
            <w:pPr>
              <w:pStyle w:val="a3"/>
              <w:jc w:val="center"/>
              <w:rPr>
                <w:b/>
                <w:lang w:val="uk-UA"/>
              </w:rPr>
            </w:pPr>
            <w:r w:rsidRPr="00072BB8">
              <w:rPr>
                <w:b/>
                <w:lang w:val="uk-UA"/>
              </w:rPr>
              <w:t>Кваліфікаційні вимоги</w:t>
            </w:r>
          </w:p>
        </w:tc>
      </w:tr>
      <w:tr w:rsidR="00CE6DDD" w:rsidRPr="00072BB8" w:rsidTr="00CE6DDD">
        <w:trPr>
          <w:trHeight w:val="475"/>
          <w:tblCellSpacing w:w="22" w:type="dxa"/>
        </w:trPr>
        <w:tc>
          <w:tcPr>
            <w:tcW w:w="188" w:type="pct"/>
          </w:tcPr>
          <w:p w:rsidR="00CE6DDD" w:rsidRPr="00072BB8" w:rsidRDefault="00CE6DDD">
            <w:pPr>
              <w:pStyle w:val="a3"/>
              <w:jc w:val="center"/>
              <w:rPr>
                <w:b/>
                <w:lang w:val="uk-UA"/>
              </w:rPr>
            </w:pPr>
            <w:r w:rsidRPr="00072BB8">
              <w:rPr>
                <w:b/>
                <w:lang w:val="uk-UA"/>
              </w:rPr>
              <w:t>1.</w:t>
            </w:r>
          </w:p>
        </w:tc>
        <w:tc>
          <w:tcPr>
            <w:tcW w:w="1674" w:type="pct"/>
          </w:tcPr>
          <w:p w:rsidR="00CE6DDD" w:rsidRPr="00072BB8" w:rsidRDefault="00CE6DDD">
            <w:pPr>
              <w:pStyle w:val="a3"/>
              <w:rPr>
                <w:b/>
                <w:lang w:val="uk-UA"/>
              </w:rPr>
            </w:pPr>
            <w:r w:rsidRPr="00072BB8">
              <w:rPr>
                <w:b/>
                <w:lang w:val="uk-UA"/>
              </w:rPr>
              <w:t>Освіта</w:t>
            </w:r>
          </w:p>
        </w:tc>
        <w:tc>
          <w:tcPr>
            <w:tcW w:w="3081" w:type="pct"/>
          </w:tcPr>
          <w:p w:rsidR="00CE6DDD" w:rsidRPr="00072BB8" w:rsidRDefault="00CE6DDD" w:rsidP="00D1003B">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CE6DDD" w:rsidRPr="00072BB8" w:rsidTr="00CE6DDD">
        <w:trPr>
          <w:trHeight w:val="235"/>
          <w:tblCellSpacing w:w="22" w:type="dxa"/>
        </w:trPr>
        <w:tc>
          <w:tcPr>
            <w:tcW w:w="188" w:type="pct"/>
          </w:tcPr>
          <w:p w:rsidR="00CE6DDD" w:rsidRPr="00072BB8" w:rsidRDefault="00CE6DDD">
            <w:pPr>
              <w:pStyle w:val="a3"/>
              <w:jc w:val="center"/>
              <w:rPr>
                <w:b/>
                <w:lang w:val="uk-UA"/>
              </w:rPr>
            </w:pPr>
            <w:r w:rsidRPr="00072BB8">
              <w:rPr>
                <w:b/>
                <w:lang w:val="uk-UA"/>
              </w:rPr>
              <w:t>2.</w:t>
            </w:r>
          </w:p>
        </w:tc>
        <w:tc>
          <w:tcPr>
            <w:tcW w:w="1674" w:type="pct"/>
          </w:tcPr>
          <w:p w:rsidR="00CE6DDD" w:rsidRPr="00072BB8" w:rsidRDefault="00CE6DDD">
            <w:pPr>
              <w:pStyle w:val="a3"/>
              <w:rPr>
                <w:b/>
                <w:lang w:val="uk-UA"/>
              </w:rPr>
            </w:pPr>
            <w:r w:rsidRPr="00072BB8">
              <w:rPr>
                <w:b/>
                <w:lang w:val="uk-UA"/>
              </w:rPr>
              <w:t>Досвід роботи</w:t>
            </w:r>
          </w:p>
        </w:tc>
        <w:tc>
          <w:tcPr>
            <w:tcW w:w="3081" w:type="pct"/>
          </w:tcPr>
          <w:p w:rsidR="00CE6DDD" w:rsidRPr="00072BB8" w:rsidRDefault="00CE6DDD" w:rsidP="00CE1139">
            <w:pPr>
              <w:pStyle w:val="a3"/>
              <w:jc w:val="both"/>
              <w:rPr>
                <w:lang w:val="uk-UA"/>
              </w:rPr>
            </w:pPr>
            <w:r w:rsidRPr="00072BB8">
              <w:rPr>
                <w:lang w:val="uk-UA"/>
              </w:rPr>
              <w:t>Не потребує.</w:t>
            </w:r>
          </w:p>
        </w:tc>
      </w:tr>
      <w:tr w:rsidR="00CE6DDD" w:rsidRPr="00072BB8" w:rsidTr="00CE6DDD">
        <w:trPr>
          <w:trHeight w:val="361"/>
          <w:tblCellSpacing w:w="22" w:type="dxa"/>
        </w:trPr>
        <w:tc>
          <w:tcPr>
            <w:tcW w:w="188" w:type="pct"/>
          </w:tcPr>
          <w:p w:rsidR="00CE6DDD" w:rsidRPr="00072BB8" w:rsidRDefault="00CE6DDD">
            <w:pPr>
              <w:pStyle w:val="a3"/>
              <w:jc w:val="center"/>
              <w:rPr>
                <w:b/>
                <w:lang w:val="uk-UA"/>
              </w:rPr>
            </w:pPr>
            <w:r w:rsidRPr="00072BB8">
              <w:rPr>
                <w:b/>
                <w:lang w:val="uk-UA"/>
              </w:rPr>
              <w:t>3.</w:t>
            </w:r>
          </w:p>
        </w:tc>
        <w:tc>
          <w:tcPr>
            <w:tcW w:w="1674" w:type="pct"/>
          </w:tcPr>
          <w:p w:rsidR="00CE6DDD" w:rsidRPr="00072BB8" w:rsidRDefault="00CE6DDD">
            <w:pPr>
              <w:pStyle w:val="a3"/>
              <w:rPr>
                <w:b/>
                <w:lang w:val="uk-UA"/>
              </w:rPr>
            </w:pPr>
            <w:r w:rsidRPr="00072BB8">
              <w:rPr>
                <w:b/>
                <w:lang w:val="uk-UA"/>
              </w:rPr>
              <w:t>Володіння державною мовою</w:t>
            </w:r>
          </w:p>
        </w:tc>
        <w:tc>
          <w:tcPr>
            <w:tcW w:w="3081" w:type="pct"/>
          </w:tcPr>
          <w:p w:rsidR="00CE6DDD" w:rsidRPr="00072BB8" w:rsidRDefault="00CE6DDD" w:rsidP="00CE1139">
            <w:pPr>
              <w:pStyle w:val="a3"/>
              <w:rPr>
                <w:lang w:val="uk-UA"/>
              </w:rPr>
            </w:pPr>
            <w:r w:rsidRPr="00072BB8">
              <w:rPr>
                <w:rStyle w:val="rvts0"/>
                <w:lang w:val="uk-UA"/>
              </w:rPr>
              <w:t>Вільне володіння державною мовою.</w:t>
            </w:r>
            <w:r w:rsidRPr="00072BB8">
              <w:rPr>
                <w:lang w:val="uk-UA"/>
              </w:rPr>
              <w:t> </w:t>
            </w:r>
          </w:p>
        </w:tc>
      </w:tr>
      <w:tr w:rsidR="00CE6DDD" w:rsidRPr="00327204" w:rsidTr="00CE6DDD">
        <w:trPr>
          <w:trHeight w:val="221"/>
          <w:tblCellSpacing w:w="22" w:type="dxa"/>
        </w:trPr>
        <w:tc>
          <w:tcPr>
            <w:tcW w:w="188" w:type="pct"/>
            <w:tcBorders>
              <w:top w:val="single" w:sz="4" w:space="0" w:color="auto"/>
              <w:bottom w:val="single" w:sz="4" w:space="0" w:color="auto"/>
            </w:tcBorders>
          </w:tcPr>
          <w:p w:rsidR="00CE6DDD" w:rsidRPr="00327204" w:rsidRDefault="00CE6DDD" w:rsidP="00F7716C">
            <w:pPr>
              <w:pStyle w:val="a3"/>
              <w:jc w:val="center"/>
              <w:rPr>
                <w:b/>
                <w:lang w:val="uk-UA"/>
              </w:rPr>
            </w:pPr>
            <w:r w:rsidRPr="00327204">
              <w:rPr>
                <w:b/>
                <w:lang w:val="uk-UA"/>
              </w:rPr>
              <w:t>4.</w:t>
            </w:r>
          </w:p>
        </w:tc>
        <w:tc>
          <w:tcPr>
            <w:tcW w:w="1674" w:type="pct"/>
            <w:tcBorders>
              <w:bottom w:val="single" w:sz="4" w:space="0" w:color="auto"/>
            </w:tcBorders>
          </w:tcPr>
          <w:p w:rsidR="00CE6DDD" w:rsidRPr="00327204" w:rsidRDefault="00CE6DDD" w:rsidP="00F7716C">
            <w:pPr>
              <w:pStyle w:val="a3"/>
              <w:rPr>
                <w:b/>
                <w:lang w:val="uk-UA"/>
              </w:rPr>
            </w:pPr>
            <w:r w:rsidRPr="00327204">
              <w:rPr>
                <w:b/>
                <w:lang w:val="uk-UA"/>
              </w:rPr>
              <w:t>Володіння іноземною мовою</w:t>
            </w:r>
          </w:p>
        </w:tc>
        <w:tc>
          <w:tcPr>
            <w:tcW w:w="3081" w:type="pct"/>
          </w:tcPr>
          <w:p w:rsidR="00CE6DDD" w:rsidRPr="00327204" w:rsidRDefault="00CE6DDD" w:rsidP="00F7716C">
            <w:pPr>
              <w:pStyle w:val="a3"/>
              <w:rPr>
                <w:lang w:val="uk-UA"/>
              </w:rPr>
            </w:pPr>
            <w:r w:rsidRPr="00327204">
              <w:rPr>
                <w:lang w:val="uk-UA"/>
              </w:rPr>
              <w:t>Не потребує</w:t>
            </w:r>
          </w:p>
        </w:tc>
      </w:tr>
      <w:tr w:rsidR="00CE6DDD" w:rsidRPr="00072BB8" w:rsidTr="00CE6DDD">
        <w:trPr>
          <w:trHeight w:val="196"/>
          <w:tblCellSpacing w:w="22" w:type="dxa"/>
        </w:trPr>
        <w:tc>
          <w:tcPr>
            <w:tcW w:w="4971" w:type="pct"/>
            <w:gridSpan w:val="3"/>
          </w:tcPr>
          <w:p w:rsidR="00CE6DDD" w:rsidRPr="00072BB8" w:rsidRDefault="00CE6DDD" w:rsidP="00D87C7E">
            <w:pPr>
              <w:pStyle w:val="a3"/>
              <w:jc w:val="center"/>
              <w:rPr>
                <w:b/>
                <w:lang w:val="uk-UA"/>
              </w:rPr>
            </w:pPr>
            <w:r w:rsidRPr="00072BB8">
              <w:rPr>
                <w:b/>
                <w:lang w:val="uk-UA"/>
              </w:rPr>
              <w:t>Вимоги до компетентності</w:t>
            </w:r>
          </w:p>
        </w:tc>
      </w:tr>
      <w:tr w:rsidR="00CE6DDD" w:rsidRPr="00072BB8" w:rsidTr="00CE6DDD">
        <w:trPr>
          <w:trHeight w:val="271"/>
          <w:tblCellSpacing w:w="22" w:type="dxa"/>
        </w:trPr>
        <w:tc>
          <w:tcPr>
            <w:tcW w:w="1876" w:type="pct"/>
            <w:gridSpan w:val="2"/>
          </w:tcPr>
          <w:p w:rsidR="00CE6DDD" w:rsidRPr="00072BB8" w:rsidRDefault="00CE6DDD">
            <w:pPr>
              <w:pStyle w:val="a3"/>
              <w:jc w:val="center"/>
              <w:rPr>
                <w:b/>
                <w:lang w:val="uk-UA"/>
              </w:rPr>
            </w:pPr>
            <w:r w:rsidRPr="00072BB8">
              <w:rPr>
                <w:b/>
                <w:lang w:val="uk-UA"/>
              </w:rPr>
              <w:t>Вимога</w:t>
            </w:r>
          </w:p>
        </w:tc>
        <w:tc>
          <w:tcPr>
            <w:tcW w:w="3081" w:type="pct"/>
          </w:tcPr>
          <w:p w:rsidR="00CE6DDD" w:rsidRPr="00072BB8" w:rsidRDefault="00CE6DDD" w:rsidP="00D87C7E">
            <w:pPr>
              <w:pStyle w:val="a3"/>
              <w:jc w:val="center"/>
              <w:rPr>
                <w:b/>
                <w:lang w:val="uk-UA"/>
              </w:rPr>
            </w:pPr>
            <w:r w:rsidRPr="00072BB8">
              <w:rPr>
                <w:b/>
                <w:lang w:val="uk-UA"/>
              </w:rPr>
              <w:t>Компоненти вимоги</w:t>
            </w:r>
          </w:p>
        </w:tc>
      </w:tr>
      <w:tr w:rsidR="00CE6DDD" w:rsidRPr="00072BB8" w:rsidTr="00CE6DDD">
        <w:trPr>
          <w:trHeight w:val="391"/>
          <w:tblCellSpacing w:w="22" w:type="dxa"/>
        </w:trPr>
        <w:tc>
          <w:tcPr>
            <w:tcW w:w="188" w:type="pct"/>
          </w:tcPr>
          <w:p w:rsidR="00CE6DDD" w:rsidRPr="00072BB8" w:rsidRDefault="00CE6DDD" w:rsidP="006C7EB5">
            <w:pPr>
              <w:pStyle w:val="a3"/>
              <w:jc w:val="center"/>
              <w:rPr>
                <w:b/>
                <w:lang w:val="uk-UA"/>
              </w:rPr>
            </w:pPr>
            <w:r w:rsidRPr="00072BB8">
              <w:rPr>
                <w:b/>
                <w:lang w:val="uk-UA"/>
              </w:rPr>
              <w:lastRenderedPageBreak/>
              <w:t>1.</w:t>
            </w:r>
          </w:p>
        </w:tc>
        <w:tc>
          <w:tcPr>
            <w:tcW w:w="1674" w:type="pct"/>
          </w:tcPr>
          <w:p w:rsidR="00CE6DDD" w:rsidRPr="00072BB8" w:rsidRDefault="00CE6DDD" w:rsidP="006C7EB5">
            <w:pPr>
              <w:pStyle w:val="a3"/>
              <w:rPr>
                <w:b/>
                <w:lang w:val="uk-UA"/>
              </w:rPr>
            </w:pPr>
            <w:r w:rsidRPr="00072BB8">
              <w:rPr>
                <w:b/>
                <w:lang w:val="uk-UA"/>
              </w:rPr>
              <w:t xml:space="preserve">Уміння  працювати з комп’ютером </w:t>
            </w:r>
          </w:p>
        </w:tc>
        <w:tc>
          <w:tcPr>
            <w:tcW w:w="3081" w:type="pct"/>
          </w:tcPr>
          <w:p w:rsidR="00CE6DDD" w:rsidRPr="00E75067" w:rsidRDefault="00CE6DDD" w:rsidP="002B2A46">
            <w:pPr>
              <w:jc w:val="both"/>
              <w:rPr>
                <w:lang w:val="uk-UA"/>
              </w:rPr>
            </w:pPr>
            <w:r w:rsidRPr="00E75067">
              <w:rPr>
                <w:lang w:val="uk-UA"/>
              </w:rPr>
              <w:t>Рівень досвідченого користувача,</w:t>
            </w:r>
          </w:p>
          <w:p w:rsidR="00CE6DDD" w:rsidRPr="00E75067" w:rsidRDefault="00CE6DDD" w:rsidP="002B2A46">
            <w:pPr>
              <w:jc w:val="both"/>
              <w:rPr>
                <w:lang w:val="uk-UA"/>
              </w:rPr>
            </w:pPr>
            <w:r w:rsidRPr="00E75067">
              <w:rPr>
                <w:lang w:val="uk-UA"/>
              </w:rPr>
              <w:t>досвід роботи з офісним пакетом Microsoft Office (Word, Excel).</w:t>
            </w:r>
          </w:p>
        </w:tc>
      </w:tr>
      <w:tr w:rsidR="00CE6DDD" w:rsidRPr="00072BB8" w:rsidTr="00CE6DDD">
        <w:trPr>
          <w:trHeight w:val="17"/>
          <w:tblCellSpacing w:w="22" w:type="dxa"/>
        </w:trPr>
        <w:tc>
          <w:tcPr>
            <w:tcW w:w="188" w:type="pct"/>
          </w:tcPr>
          <w:p w:rsidR="00CE6DDD" w:rsidRPr="00072BB8" w:rsidRDefault="00CE6DDD" w:rsidP="0096004B">
            <w:pPr>
              <w:pStyle w:val="a3"/>
              <w:jc w:val="center"/>
              <w:rPr>
                <w:b/>
                <w:lang w:val="uk-UA"/>
              </w:rPr>
            </w:pPr>
            <w:r w:rsidRPr="00072BB8">
              <w:rPr>
                <w:b/>
                <w:lang w:val="uk-UA"/>
              </w:rPr>
              <w:t>2.</w:t>
            </w:r>
          </w:p>
        </w:tc>
        <w:tc>
          <w:tcPr>
            <w:tcW w:w="1674" w:type="pct"/>
          </w:tcPr>
          <w:p w:rsidR="00CE6DDD" w:rsidRPr="00072BB8" w:rsidRDefault="00CE6DDD" w:rsidP="0096004B">
            <w:pPr>
              <w:pStyle w:val="a3"/>
              <w:rPr>
                <w:b/>
                <w:lang w:val="uk-UA"/>
              </w:rPr>
            </w:pPr>
            <w:r w:rsidRPr="00072BB8">
              <w:rPr>
                <w:b/>
                <w:lang w:val="uk-UA"/>
              </w:rPr>
              <w:t>Необхідні ділові якості</w:t>
            </w:r>
          </w:p>
        </w:tc>
        <w:tc>
          <w:tcPr>
            <w:tcW w:w="3081" w:type="pct"/>
          </w:tcPr>
          <w:p w:rsidR="00CE6DDD" w:rsidRPr="00E75067" w:rsidRDefault="00CE6DDD"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CE6DDD" w:rsidRPr="00E75067" w:rsidRDefault="00CE6DDD"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CE6DDD" w:rsidRPr="00E53486" w:rsidTr="00CE6DDD">
        <w:trPr>
          <w:trHeight w:val="17"/>
          <w:tblCellSpacing w:w="22" w:type="dxa"/>
        </w:trPr>
        <w:tc>
          <w:tcPr>
            <w:tcW w:w="188" w:type="pct"/>
          </w:tcPr>
          <w:p w:rsidR="00CE6DDD" w:rsidRPr="00072BB8" w:rsidRDefault="00CE6DDD">
            <w:pPr>
              <w:pStyle w:val="a3"/>
              <w:jc w:val="center"/>
              <w:rPr>
                <w:b/>
                <w:lang w:val="uk-UA"/>
              </w:rPr>
            </w:pPr>
            <w:r w:rsidRPr="00072BB8">
              <w:rPr>
                <w:b/>
                <w:lang w:val="uk-UA"/>
              </w:rPr>
              <w:t>3.</w:t>
            </w:r>
          </w:p>
        </w:tc>
        <w:tc>
          <w:tcPr>
            <w:tcW w:w="1674" w:type="pct"/>
          </w:tcPr>
          <w:p w:rsidR="00CE6DDD" w:rsidRPr="00072BB8" w:rsidRDefault="00CE6DDD" w:rsidP="0060758D">
            <w:pPr>
              <w:pStyle w:val="a3"/>
              <w:rPr>
                <w:b/>
                <w:lang w:val="uk-UA"/>
              </w:rPr>
            </w:pPr>
            <w:r w:rsidRPr="00072BB8">
              <w:rPr>
                <w:b/>
                <w:lang w:val="uk-UA"/>
              </w:rPr>
              <w:t>Необхідні особистісні якості</w:t>
            </w:r>
          </w:p>
        </w:tc>
        <w:tc>
          <w:tcPr>
            <w:tcW w:w="3081" w:type="pct"/>
          </w:tcPr>
          <w:p w:rsidR="00CE6DDD" w:rsidRPr="00E75067" w:rsidRDefault="00CE6DDD"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CE6DDD" w:rsidRPr="00E75067" w:rsidRDefault="00CE6DD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CE6DDD" w:rsidRPr="00E75067" w:rsidRDefault="00CE6DD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CE6DDD" w:rsidRPr="00072BB8" w:rsidTr="000E1637">
        <w:trPr>
          <w:trHeight w:val="17"/>
          <w:tblCellSpacing w:w="22" w:type="dxa"/>
        </w:trPr>
        <w:tc>
          <w:tcPr>
            <w:tcW w:w="4971" w:type="pct"/>
            <w:gridSpan w:val="3"/>
          </w:tcPr>
          <w:p w:rsidR="00CE6DDD" w:rsidRPr="00072BB8" w:rsidRDefault="00CE6DDD" w:rsidP="004175A3">
            <w:pPr>
              <w:pStyle w:val="a3"/>
              <w:jc w:val="center"/>
              <w:rPr>
                <w:b/>
                <w:lang w:val="uk-UA"/>
              </w:rPr>
            </w:pPr>
            <w:r w:rsidRPr="00072BB8">
              <w:rPr>
                <w:b/>
                <w:lang w:val="uk-UA"/>
              </w:rPr>
              <w:t>Професійні знання</w:t>
            </w:r>
          </w:p>
        </w:tc>
      </w:tr>
      <w:tr w:rsidR="00CE6DDD" w:rsidRPr="00072BB8" w:rsidTr="00CE6DDD">
        <w:trPr>
          <w:trHeight w:val="271"/>
          <w:tblCellSpacing w:w="22" w:type="dxa"/>
        </w:trPr>
        <w:tc>
          <w:tcPr>
            <w:tcW w:w="1876" w:type="pct"/>
            <w:gridSpan w:val="2"/>
          </w:tcPr>
          <w:p w:rsidR="00CE6DDD" w:rsidRPr="00072BB8" w:rsidRDefault="00CE6DDD">
            <w:pPr>
              <w:pStyle w:val="a3"/>
              <w:jc w:val="center"/>
              <w:rPr>
                <w:b/>
                <w:lang w:val="uk-UA"/>
              </w:rPr>
            </w:pPr>
            <w:r w:rsidRPr="00072BB8">
              <w:rPr>
                <w:b/>
                <w:lang w:val="uk-UA"/>
              </w:rPr>
              <w:t>Вимога</w:t>
            </w:r>
          </w:p>
        </w:tc>
        <w:tc>
          <w:tcPr>
            <w:tcW w:w="3081" w:type="pct"/>
          </w:tcPr>
          <w:p w:rsidR="00CE6DDD" w:rsidRPr="00072BB8" w:rsidRDefault="00CE6DDD">
            <w:pPr>
              <w:pStyle w:val="a3"/>
              <w:jc w:val="center"/>
              <w:rPr>
                <w:b/>
                <w:lang w:val="uk-UA"/>
              </w:rPr>
            </w:pPr>
            <w:r w:rsidRPr="00072BB8">
              <w:rPr>
                <w:b/>
                <w:lang w:val="uk-UA"/>
              </w:rPr>
              <w:t>Компоненти вимоги</w:t>
            </w:r>
          </w:p>
        </w:tc>
      </w:tr>
      <w:tr w:rsidR="00CE6DDD" w:rsidRPr="00072BB8" w:rsidTr="00CE6DDD">
        <w:trPr>
          <w:trHeight w:val="1074"/>
          <w:tblCellSpacing w:w="22" w:type="dxa"/>
        </w:trPr>
        <w:tc>
          <w:tcPr>
            <w:tcW w:w="188" w:type="pct"/>
          </w:tcPr>
          <w:p w:rsidR="00CE6DDD" w:rsidRPr="00072BB8" w:rsidRDefault="00CE6DDD">
            <w:pPr>
              <w:pStyle w:val="a3"/>
              <w:jc w:val="center"/>
              <w:rPr>
                <w:b/>
                <w:lang w:val="uk-UA"/>
              </w:rPr>
            </w:pPr>
            <w:r w:rsidRPr="00072BB8">
              <w:rPr>
                <w:b/>
                <w:lang w:val="uk-UA"/>
              </w:rPr>
              <w:t>1.</w:t>
            </w:r>
          </w:p>
        </w:tc>
        <w:tc>
          <w:tcPr>
            <w:tcW w:w="1674" w:type="pct"/>
          </w:tcPr>
          <w:p w:rsidR="00CE6DDD" w:rsidRPr="00072BB8" w:rsidRDefault="00CE6DDD">
            <w:pPr>
              <w:pStyle w:val="a3"/>
              <w:rPr>
                <w:b/>
                <w:lang w:val="uk-UA"/>
              </w:rPr>
            </w:pPr>
            <w:r w:rsidRPr="00072BB8">
              <w:rPr>
                <w:b/>
                <w:lang w:val="uk-UA"/>
              </w:rPr>
              <w:t>Знання законодавства</w:t>
            </w:r>
          </w:p>
        </w:tc>
        <w:tc>
          <w:tcPr>
            <w:tcW w:w="3081" w:type="pct"/>
          </w:tcPr>
          <w:p w:rsidR="00CE6DDD" w:rsidRPr="00072BB8" w:rsidRDefault="00CE6DDD" w:rsidP="00EB5C82">
            <w:pPr>
              <w:jc w:val="both"/>
              <w:rPr>
                <w:lang w:val="uk-UA"/>
              </w:rPr>
            </w:pPr>
            <w:r w:rsidRPr="00072BB8">
              <w:rPr>
                <w:lang w:val="uk-UA"/>
              </w:rPr>
              <w:t>1) Конституція України.</w:t>
            </w:r>
          </w:p>
          <w:p w:rsidR="00CE6DDD" w:rsidRPr="00072BB8" w:rsidRDefault="00CE6DDD" w:rsidP="00EB5C82">
            <w:pPr>
              <w:jc w:val="both"/>
              <w:rPr>
                <w:lang w:val="uk-UA"/>
              </w:rPr>
            </w:pPr>
            <w:r w:rsidRPr="00072BB8">
              <w:rPr>
                <w:lang w:val="uk-UA"/>
              </w:rPr>
              <w:t xml:space="preserve">2) Закони України: </w:t>
            </w:r>
          </w:p>
          <w:p w:rsidR="00CE6DDD" w:rsidRPr="00072BB8" w:rsidRDefault="00CE6DDD" w:rsidP="00EB5C82">
            <w:pPr>
              <w:jc w:val="both"/>
              <w:rPr>
                <w:lang w:val="uk-UA"/>
              </w:rPr>
            </w:pPr>
            <w:r w:rsidRPr="00072BB8">
              <w:rPr>
                <w:lang w:val="uk-UA"/>
              </w:rPr>
              <w:t>«Про державну службу»</w:t>
            </w:r>
            <w:r>
              <w:rPr>
                <w:lang w:val="uk-UA"/>
              </w:rPr>
              <w:t>.</w:t>
            </w:r>
          </w:p>
          <w:p w:rsidR="00CE6DDD" w:rsidRPr="00072BB8" w:rsidRDefault="00CE6DDD" w:rsidP="00EB5C82">
            <w:pPr>
              <w:jc w:val="both"/>
              <w:rPr>
                <w:lang w:val="uk-UA"/>
              </w:rPr>
            </w:pPr>
            <w:r w:rsidRPr="00072BB8">
              <w:rPr>
                <w:lang w:val="uk-UA"/>
              </w:rPr>
              <w:t>«Про запобігання корупції».</w:t>
            </w:r>
          </w:p>
        </w:tc>
      </w:tr>
      <w:tr w:rsidR="00CE6DDD" w:rsidRPr="00E53486" w:rsidTr="00CE6DDD">
        <w:trPr>
          <w:trHeight w:val="476"/>
          <w:tblCellSpacing w:w="22" w:type="dxa"/>
        </w:trPr>
        <w:tc>
          <w:tcPr>
            <w:tcW w:w="188" w:type="pct"/>
          </w:tcPr>
          <w:p w:rsidR="00CE6DDD" w:rsidRPr="00072BB8" w:rsidRDefault="00CE6DDD">
            <w:pPr>
              <w:pStyle w:val="a3"/>
              <w:jc w:val="center"/>
              <w:rPr>
                <w:b/>
                <w:lang w:val="uk-UA"/>
              </w:rPr>
            </w:pPr>
            <w:r w:rsidRPr="00072BB8">
              <w:rPr>
                <w:b/>
                <w:lang w:val="uk-UA"/>
              </w:rPr>
              <w:t>2.</w:t>
            </w:r>
          </w:p>
        </w:tc>
        <w:tc>
          <w:tcPr>
            <w:tcW w:w="1674" w:type="pct"/>
          </w:tcPr>
          <w:p w:rsidR="00CE6DDD" w:rsidRPr="00072BB8" w:rsidRDefault="00CE6DD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1" w:type="pct"/>
          </w:tcPr>
          <w:p w:rsidR="00CE6DDD" w:rsidRPr="00D1003B" w:rsidRDefault="00CE6DD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CE6DDD" w:rsidRPr="00D1003B" w:rsidRDefault="00CE6DD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CE6DDD" w:rsidRPr="00D1003B" w:rsidRDefault="00CE6DDD" w:rsidP="00D1003B">
            <w:pPr>
              <w:ind w:left="142" w:right="100"/>
              <w:jc w:val="both"/>
              <w:rPr>
                <w:lang w:val="uk-UA"/>
              </w:rPr>
            </w:pPr>
            <w:r w:rsidRPr="00D1003B">
              <w:rPr>
                <w:lang w:val="uk-UA"/>
              </w:rPr>
              <w:t>3</w:t>
            </w:r>
            <w:r w:rsidRPr="00D1003B">
              <w:t>)</w:t>
            </w:r>
            <w:r>
              <w:rPr>
                <w:lang w:val="uk-UA"/>
              </w:rPr>
              <w:t>Закон України «Про інформацію».</w:t>
            </w:r>
          </w:p>
          <w:p w:rsidR="00CE6DDD" w:rsidRPr="00D1003B" w:rsidRDefault="00CE6DD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CE6DDD" w:rsidRPr="00D1003B" w:rsidRDefault="00CE6DD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CE6DDD" w:rsidRPr="00D1003B" w:rsidRDefault="00CE6DDD" w:rsidP="00D1003B">
            <w:pPr>
              <w:jc w:val="both"/>
              <w:rPr>
                <w:lang w:val="uk-UA"/>
              </w:rPr>
            </w:pPr>
            <w:r w:rsidRPr="00D1003B">
              <w:rPr>
                <w:lang w:val="uk-UA"/>
              </w:rPr>
              <w:t xml:space="preserve">   6) Закон України «Про звернення громадян».</w:t>
            </w:r>
          </w:p>
          <w:p w:rsidR="00CE6DDD" w:rsidRDefault="00CE6DDD" w:rsidP="00D1003B">
            <w:pPr>
              <w:ind w:right="100"/>
              <w:jc w:val="both"/>
              <w:rPr>
                <w:lang w:val="en-US"/>
              </w:rPr>
            </w:pPr>
            <w:r w:rsidRPr="00D1003B">
              <w:rPr>
                <w:lang w:val="uk-UA"/>
              </w:rPr>
              <w:t xml:space="preserve">   7) Закон України «Про доступ до публічної інформації».</w:t>
            </w:r>
          </w:p>
          <w:p w:rsidR="00CE6DDD" w:rsidRDefault="00CE6DDD" w:rsidP="001C3A06">
            <w:pPr>
              <w:ind w:right="100"/>
              <w:jc w:val="both"/>
              <w:rPr>
                <w:lang w:val="uk-UA"/>
              </w:rPr>
            </w:pPr>
            <w:r>
              <w:rPr>
                <w:lang w:val="en-US"/>
              </w:rPr>
              <w:t xml:space="preserve">   </w:t>
            </w:r>
            <w:r>
              <w:rPr>
                <w:lang w:val="uk-UA"/>
              </w:rPr>
              <w:t xml:space="preserve">8) </w:t>
            </w:r>
            <w:r w:rsidRPr="0067478F">
              <w:rPr>
                <w:lang w:val="uk-UA"/>
              </w:rPr>
              <w:t>Наказ</w:t>
            </w:r>
            <w:r>
              <w:rPr>
                <w:lang w:val="uk-UA"/>
              </w:rPr>
              <w:t xml:space="preserve"> від </w:t>
            </w:r>
            <w:r w:rsidRPr="0067478F">
              <w:rPr>
                <w:lang w:val="uk-UA"/>
              </w:rPr>
              <w:t>14.04.2017</w:t>
            </w:r>
            <w:r>
              <w:rPr>
                <w:lang w:val="uk-UA"/>
              </w:rPr>
              <w:t xml:space="preserve"> № 263 «</w:t>
            </w:r>
            <w:r w:rsidRPr="0067478F">
              <w:rPr>
                <w:lang w:val="uk-UA"/>
              </w:rPr>
              <w:t>Про затвердження Регламенту взаємодії структурних підрозділів ДФС та головних управлінь ДФС в областях, м. Києві, Офісу великих платників податків ДФС у процесі бюджетного відшкодування податку на додану вартість та формування Реєстру заяв про суми бюджетного відшкодув</w:t>
            </w:r>
            <w:r>
              <w:rPr>
                <w:lang w:val="uk-UA"/>
              </w:rPr>
              <w:t>ання податку на додану вартість»;</w:t>
            </w:r>
          </w:p>
          <w:p w:rsidR="00CE6DDD" w:rsidRPr="00A76008" w:rsidRDefault="00CE6DDD" w:rsidP="00CE6DDD">
            <w:pPr>
              <w:spacing w:line="240" w:lineRule="exact"/>
              <w:ind w:right="102"/>
              <w:jc w:val="both"/>
              <w:rPr>
                <w:lang w:val="en-US"/>
              </w:rPr>
            </w:pPr>
            <w:r>
              <w:rPr>
                <w:lang w:val="en-US"/>
              </w:rPr>
              <w:t xml:space="preserve">  </w:t>
            </w:r>
            <w:r>
              <w:rPr>
                <w:lang w:val="uk-UA"/>
              </w:rPr>
              <w:t>9</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CE6DDD">
      <w:pgSz w:w="16838" w:h="11906" w:orient="landscape"/>
      <w:pgMar w:top="709" w:right="638"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464F"/>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37CFC"/>
    <w:rsid w:val="00457D02"/>
    <w:rsid w:val="00461E9E"/>
    <w:rsid w:val="00463E20"/>
    <w:rsid w:val="00476E47"/>
    <w:rsid w:val="00477AC6"/>
    <w:rsid w:val="004A2982"/>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564C"/>
    <w:rsid w:val="00516CF2"/>
    <w:rsid w:val="00520725"/>
    <w:rsid w:val="005256A7"/>
    <w:rsid w:val="0054073A"/>
    <w:rsid w:val="005416E4"/>
    <w:rsid w:val="00553738"/>
    <w:rsid w:val="00555268"/>
    <w:rsid w:val="00572D76"/>
    <w:rsid w:val="00573043"/>
    <w:rsid w:val="005749F7"/>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76E96"/>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B59CE"/>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0AE3"/>
    <w:rsid w:val="00CE1139"/>
    <w:rsid w:val="00CE4551"/>
    <w:rsid w:val="00CE6DDD"/>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3B0F"/>
    <w:rsid w:val="00DA5323"/>
    <w:rsid w:val="00DB4114"/>
    <w:rsid w:val="00DC02FF"/>
    <w:rsid w:val="00DC1564"/>
    <w:rsid w:val="00DC36CC"/>
    <w:rsid w:val="00DC52DB"/>
    <w:rsid w:val="00DF5417"/>
    <w:rsid w:val="00E03990"/>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86A2D"/>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5419</Words>
  <Characters>3090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8493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2019-11-18T14:38:00Z</dcterms:created>
  <dcterms:modified xsi:type="dcterms:W3CDTF">2019-11-19T09:15:00Z</dcterms:modified>
</cp:coreProperties>
</file>