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AD03AB">
        <w:rPr>
          <w:sz w:val="22"/>
          <w:szCs w:val="22"/>
          <w:lang w:val="uk-UA"/>
        </w:rPr>
        <w:t>12</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033E80" w:rsidP="001E43B3">
      <w:pPr>
        <w:jc w:val="right"/>
        <w:rPr>
          <w:sz w:val="22"/>
          <w:szCs w:val="22"/>
          <w:lang w:val="uk-UA"/>
        </w:rPr>
      </w:pPr>
      <w:r>
        <w:rPr>
          <w:sz w:val="22"/>
          <w:szCs w:val="22"/>
          <w:lang w:val="uk-UA"/>
        </w:rPr>
        <w:t>від _10.01.2020___№_240__</w:t>
      </w:r>
      <w:r w:rsidR="001E43B3">
        <w:rPr>
          <w:sz w:val="22"/>
          <w:szCs w:val="22"/>
          <w:lang w:val="uk-UA"/>
        </w:rPr>
        <w:t xml:space="preserve">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B027D7" w:rsidRPr="00B027D7" w:rsidRDefault="00B027D7" w:rsidP="00B027D7">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p>
    <w:p w:rsidR="00B027D7" w:rsidRPr="00B027D7" w:rsidRDefault="00B027D7" w:rsidP="00B027D7">
      <w:pPr>
        <w:pStyle w:val="a9"/>
        <w:ind w:firstLine="567"/>
        <w:rPr>
          <w:rFonts w:ascii="Times New Roman" w:hAnsi="Times New Roman"/>
          <w:sz w:val="28"/>
          <w:szCs w:val="28"/>
          <w:lang w:val="uk-UA"/>
        </w:rPr>
      </w:pPr>
      <w:proofErr w:type="spellStart"/>
      <w:r w:rsidRPr="00B027D7">
        <w:rPr>
          <w:rFonts w:ascii="Times New Roman" w:hAnsi="Times New Roman"/>
          <w:sz w:val="28"/>
          <w:szCs w:val="28"/>
        </w:rPr>
        <w:t>юридичних</w:t>
      </w:r>
      <w:proofErr w:type="spellEnd"/>
      <w:r w:rsidRPr="00B027D7">
        <w:rPr>
          <w:rFonts w:ascii="Times New Roman" w:hAnsi="Times New Roman"/>
          <w:sz w:val="28"/>
          <w:szCs w:val="28"/>
        </w:rPr>
        <w:t xml:space="preserve"> </w:t>
      </w:r>
      <w:proofErr w:type="spellStart"/>
      <w:proofErr w:type="gramStart"/>
      <w:r w:rsidRPr="00B027D7">
        <w:rPr>
          <w:rFonts w:ascii="Times New Roman" w:hAnsi="Times New Roman"/>
          <w:sz w:val="28"/>
          <w:szCs w:val="28"/>
        </w:rPr>
        <w:t>осіб</w:t>
      </w:r>
      <w:proofErr w:type="spellEnd"/>
      <w:proofErr w:type="gramEnd"/>
      <w:r w:rsidRPr="00B027D7">
        <w:rPr>
          <w:rFonts w:ascii="Times New Roman" w:hAnsi="Times New Roman"/>
          <w:sz w:val="28"/>
          <w:szCs w:val="28"/>
        </w:rPr>
        <w:t xml:space="preserve"> </w:t>
      </w:r>
      <w:r w:rsidR="009C715C">
        <w:rPr>
          <w:rFonts w:ascii="Times New Roman" w:hAnsi="Times New Roman"/>
          <w:sz w:val="28"/>
          <w:szCs w:val="28"/>
          <w:lang w:val="uk-UA"/>
        </w:rPr>
        <w:t>Галицького</w:t>
      </w:r>
      <w:r w:rsidRPr="00B027D7">
        <w:rPr>
          <w:rFonts w:ascii="Times New Roman" w:hAnsi="Times New Roman"/>
          <w:sz w:val="28"/>
          <w:szCs w:val="28"/>
        </w:rPr>
        <w:t xml:space="preserve"> </w:t>
      </w:r>
      <w:proofErr w:type="spellStart"/>
      <w:r w:rsidRPr="00B027D7">
        <w:rPr>
          <w:rFonts w:ascii="Times New Roman" w:hAnsi="Times New Roman"/>
          <w:sz w:val="28"/>
          <w:szCs w:val="28"/>
        </w:rPr>
        <w:t>управління</w:t>
      </w:r>
      <w:proofErr w:type="spellEnd"/>
      <w:r w:rsidRPr="00B027D7">
        <w:rPr>
          <w:rFonts w:ascii="Times New Roman" w:hAnsi="Times New Roman"/>
          <w:sz w:val="28"/>
          <w:szCs w:val="28"/>
          <w:lang w:val="uk-UA"/>
        </w:rPr>
        <w:t xml:space="preserve"> </w:t>
      </w:r>
      <w:r w:rsidR="000F1C29" w:rsidRPr="00B027D7">
        <w:rPr>
          <w:rFonts w:ascii="Times New Roman" w:hAnsi="Times New Roman"/>
          <w:sz w:val="28"/>
          <w:szCs w:val="28"/>
        </w:rPr>
        <w:t xml:space="preserve">Головного </w:t>
      </w:r>
      <w:proofErr w:type="spellStart"/>
      <w:r w:rsidR="000F1C29" w:rsidRPr="00B027D7">
        <w:rPr>
          <w:rFonts w:ascii="Times New Roman" w:hAnsi="Times New Roman"/>
          <w:sz w:val="28"/>
          <w:szCs w:val="28"/>
        </w:rPr>
        <w:t>управління</w:t>
      </w:r>
      <w:proofErr w:type="spellEnd"/>
      <w:r w:rsidR="000F1C29" w:rsidRPr="00B027D7">
        <w:rPr>
          <w:rFonts w:ascii="Times New Roman" w:hAnsi="Times New Roman"/>
          <w:sz w:val="28"/>
          <w:szCs w:val="28"/>
        </w:rPr>
        <w:t xml:space="preserve"> ДПС у</w:t>
      </w:r>
    </w:p>
    <w:p w:rsidR="00B027D7" w:rsidRPr="00B027D7" w:rsidRDefault="000F1C29" w:rsidP="00B027D7">
      <w:pPr>
        <w:pStyle w:val="a9"/>
        <w:ind w:firstLine="567"/>
        <w:rPr>
          <w:rStyle w:val="rvts15"/>
          <w:rFonts w:ascii="Times New Roman" w:hAnsi="Times New Roman"/>
          <w:sz w:val="28"/>
          <w:szCs w:val="28"/>
          <w:lang w:val="uk-UA"/>
        </w:rPr>
      </w:pPr>
      <w:proofErr w:type="spellStart"/>
      <w:r w:rsidRPr="00B027D7">
        <w:rPr>
          <w:rFonts w:ascii="Times New Roman" w:hAnsi="Times New Roman"/>
          <w:sz w:val="28"/>
          <w:szCs w:val="28"/>
        </w:rPr>
        <w:t>Львівській</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област</w:t>
      </w:r>
      <w:proofErr w:type="spellEnd"/>
      <w:r w:rsidR="006F336C" w:rsidRPr="00B027D7">
        <w:rPr>
          <w:rFonts w:ascii="Times New Roman" w:hAnsi="Times New Roman"/>
          <w:sz w:val="28"/>
          <w:szCs w:val="28"/>
          <w:lang w:val="uk-UA"/>
        </w:rPr>
        <w:t>і</w:t>
      </w:r>
      <w:r w:rsidR="00B027D7" w:rsidRPr="00B027D7">
        <w:rPr>
          <w:rFonts w:ascii="Times New Roman" w:hAnsi="Times New Roman"/>
          <w:sz w:val="28"/>
          <w:szCs w:val="28"/>
          <w:lang w:val="uk-UA"/>
        </w:rPr>
        <w:t xml:space="preserve"> </w:t>
      </w:r>
      <w:r w:rsidR="00B027D7" w:rsidRPr="00B027D7">
        <w:rPr>
          <w:rStyle w:val="rvts15"/>
          <w:rFonts w:ascii="Times New Roman" w:hAnsi="Times New Roman"/>
          <w:sz w:val="28"/>
          <w:szCs w:val="28"/>
        </w:rPr>
        <w:t xml:space="preserve">на час </w:t>
      </w:r>
      <w:proofErr w:type="spellStart"/>
      <w:r w:rsidR="00B027D7" w:rsidRPr="00B027D7">
        <w:rPr>
          <w:rStyle w:val="rvts15"/>
          <w:rFonts w:ascii="Times New Roman" w:hAnsi="Times New Roman"/>
          <w:sz w:val="28"/>
          <w:szCs w:val="28"/>
        </w:rPr>
        <w:t>відпустки</w:t>
      </w:r>
      <w:proofErr w:type="spell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для</w:t>
      </w:r>
      <w:proofErr w:type="gram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догляду</w:t>
      </w:r>
      <w:proofErr w:type="gramEnd"/>
      <w:r w:rsidR="00B027D7" w:rsidRPr="00B027D7">
        <w:rPr>
          <w:rStyle w:val="rvts15"/>
          <w:rFonts w:ascii="Times New Roman" w:hAnsi="Times New Roman"/>
          <w:sz w:val="28"/>
          <w:szCs w:val="28"/>
        </w:rPr>
        <w:t xml:space="preserve"> за </w:t>
      </w:r>
      <w:proofErr w:type="spellStart"/>
      <w:r w:rsidR="00B027D7" w:rsidRPr="00B027D7">
        <w:rPr>
          <w:rStyle w:val="rvts15"/>
          <w:rFonts w:ascii="Times New Roman" w:hAnsi="Times New Roman"/>
          <w:sz w:val="28"/>
          <w:szCs w:val="28"/>
        </w:rPr>
        <w:t>дитиною</w:t>
      </w:r>
      <w:proofErr w:type="spellEnd"/>
      <w:r w:rsidR="00B027D7" w:rsidRPr="00B027D7">
        <w:rPr>
          <w:rStyle w:val="rvts15"/>
          <w:rFonts w:ascii="Times New Roman" w:hAnsi="Times New Roman"/>
          <w:sz w:val="28"/>
          <w:szCs w:val="28"/>
        </w:rPr>
        <w:t xml:space="preserve"> основного </w:t>
      </w:r>
      <w:proofErr w:type="spellStart"/>
      <w:r w:rsidR="00B027D7" w:rsidRPr="00B027D7">
        <w:rPr>
          <w:rStyle w:val="rvts15"/>
          <w:rFonts w:ascii="Times New Roman" w:hAnsi="Times New Roman"/>
          <w:sz w:val="28"/>
          <w:szCs w:val="28"/>
        </w:rPr>
        <w:t>працівника</w:t>
      </w:r>
      <w:proofErr w:type="spellEnd"/>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461EB5" w:rsidP="0047253F">
            <w:pPr>
              <w:pStyle w:val="a3"/>
              <w:rPr>
                <w:lang w:val="uk-UA"/>
              </w:rPr>
            </w:pPr>
            <w:r w:rsidRPr="00923A38">
              <w:rPr>
                <w:rStyle w:val="rvts15"/>
                <w:lang w:val="uk-UA"/>
              </w:rPr>
              <w:t xml:space="preserve">На час перебування у відпустці для догляду за дитиною основного працівника (строковий договір до </w:t>
            </w:r>
            <w:r w:rsidR="006128CE">
              <w:rPr>
                <w:rStyle w:val="rvts15"/>
                <w:lang w:val="uk-UA"/>
              </w:rPr>
              <w:t>1</w:t>
            </w:r>
            <w:r w:rsidR="0047253F">
              <w:rPr>
                <w:rStyle w:val="rvts15"/>
                <w:lang w:val="uk-UA"/>
              </w:rPr>
              <w:t>7</w:t>
            </w:r>
            <w:r w:rsidRPr="00923A38">
              <w:rPr>
                <w:rStyle w:val="rvts15"/>
                <w:lang w:val="uk-UA"/>
              </w:rPr>
              <w:t>.0</w:t>
            </w:r>
            <w:r w:rsidR="0047253F">
              <w:rPr>
                <w:rStyle w:val="rvts15"/>
                <w:lang w:val="uk-UA"/>
              </w:rPr>
              <w:t>9</w:t>
            </w:r>
            <w:r w:rsidRPr="00923A38">
              <w:rPr>
                <w:rStyle w:val="rvts15"/>
                <w:lang w:val="uk-UA"/>
              </w:rPr>
              <w:t>.202</w:t>
            </w:r>
            <w:r w:rsidR="006128CE">
              <w:rPr>
                <w:rStyle w:val="rvts15"/>
                <w:lang w:val="uk-UA"/>
              </w:rPr>
              <w:t>1</w:t>
            </w:r>
            <w:r w:rsidRPr="00923A38">
              <w:rPr>
                <w:rStyle w:val="rvts15"/>
                <w:lang w:val="uk-UA"/>
              </w:rPr>
              <w:t>)</w:t>
            </w:r>
            <w:r w:rsidRPr="00923A38">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2B79C0" w:rsidRDefault="00896EAD" w:rsidP="006B0DF3">
            <w:pPr>
              <w:jc w:val="both"/>
              <w:rPr>
                <w:sz w:val="16"/>
                <w:szCs w:val="16"/>
                <w:lang w:val="uk-UA" w:eastAsia="uk-UA"/>
              </w:rPr>
            </w:pPr>
          </w:p>
          <w:p w:rsidR="008D0521" w:rsidRPr="007B4671" w:rsidRDefault="008D0521" w:rsidP="008D052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8D0521" w:rsidRPr="007B4671" w:rsidRDefault="008D0521" w:rsidP="008D0521">
            <w:pPr>
              <w:jc w:val="both"/>
              <w:rPr>
                <w:lang w:val="uk-UA" w:eastAsia="uk-UA"/>
              </w:rPr>
            </w:pPr>
          </w:p>
          <w:p w:rsidR="008D0521" w:rsidRPr="007B4671" w:rsidRDefault="008D0521" w:rsidP="008D052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D0521" w:rsidRPr="007B4671" w:rsidRDefault="008D0521" w:rsidP="008D0521">
            <w:pPr>
              <w:jc w:val="both"/>
              <w:rPr>
                <w:sz w:val="16"/>
                <w:szCs w:val="16"/>
                <w:lang w:val="uk-UA" w:eastAsia="uk-UA"/>
              </w:rPr>
            </w:pPr>
          </w:p>
          <w:p w:rsidR="00896EAD" w:rsidRPr="00896EAD" w:rsidRDefault="008D0521" w:rsidP="008D0521">
            <w:pPr>
              <w:jc w:val="both"/>
              <w:rPr>
                <w:lang w:val="uk-UA"/>
              </w:rPr>
            </w:pPr>
            <w:r w:rsidRPr="007B4671">
              <w:rPr>
                <w:lang w:val="uk-UA"/>
              </w:rPr>
              <w:t>Інформація подається: до 18 год.00 хв. 21 січня 2020 року</w:t>
            </w:r>
            <w:r>
              <w:rPr>
                <w:lang w:val="en-US"/>
              </w:rPr>
              <w:t>.</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lastRenderedPageBreak/>
              <w:t>Місце, час і дата початку проведення тестування</w:t>
            </w:r>
          </w:p>
        </w:tc>
        <w:tc>
          <w:tcPr>
            <w:tcW w:w="3093" w:type="pct"/>
          </w:tcPr>
          <w:p w:rsidR="00896EAD" w:rsidRPr="00072BB8" w:rsidRDefault="008D0521" w:rsidP="00717CFC">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D0521" w:rsidRDefault="008D0521" w:rsidP="008D0521">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D0521" w:rsidRDefault="008D0521" w:rsidP="008D0521">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896EAD" w:rsidRPr="00072BB8" w:rsidRDefault="008D0521" w:rsidP="008D0521">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lastRenderedPageBreak/>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33E80"/>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3E71"/>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09BA"/>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B79C0"/>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00CF0"/>
    <w:rsid w:val="004175A3"/>
    <w:rsid w:val="004227AF"/>
    <w:rsid w:val="00426EAF"/>
    <w:rsid w:val="004372BE"/>
    <w:rsid w:val="00457D02"/>
    <w:rsid w:val="00461E9E"/>
    <w:rsid w:val="00461EB5"/>
    <w:rsid w:val="00463E20"/>
    <w:rsid w:val="0047253F"/>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1B6C"/>
    <w:rsid w:val="00573043"/>
    <w:rsid w:val="005749F7"/>
    <w:rsid w:val="00584E79"/>
    <w:rsid w:val="005A0145"/>
    <w:rsid w:val="005A2471"/>
    <w:rsid w:val="005C36D3"/>
    <w:rsid w:val="005C39D0"/>
    <w:rsid w:val="005C7DA7"/>
    <w:rsid w:val="005D3932"/>
    <w:rsid w:val="005F056F"/>
    <w:rsid w:val="006015BD"/>
    <w:rsid w:val="0060758D"/>
    <w:rsid w:val="006128CE"/>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0521"/>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C715C"/>
    <w:rsid w:val="009D566C"/>
    <w:rsid w:val="009D5742"/>
    <w:rsid w:val="009E208C"/>
    <w:rsid w:val="009F67E4"/>
    <w:rsid w:val="00A055B4"/>
    <w:rsid w:val="00A064AC"/>
    <w:rsid w:val="00A14D78"/>
    <w:rsid w:val="00A17BFE"/>
    <w:rsid w:val="00A261BC"/>
    <w:rsid w:val="00A45CC1"/>
    <w:rsid w:val="00A51406"/>
    <w:rsid w:val="00A56454"/>
    <w:rsid w:val="00A6762B"/>
    <w:rsid w:val="00A76008"/>
    <w:rsid w:val="00A868AC"/>
    <w:rsid w:val="00AA0397"/>
    <w:rsid w:val="00AA098E"/>
    <w:rsid w:val="00AA2B4C"/>
    <w:rsid w:val="00AD03AB"/>
    <w:rsid w:val="00AD477F"/>
    <w:rsid w:val="00AD4DFE"/>
    <w:rsid w:val="00AD598A"/>
    <w:rsid w:val="00AF2DC9"/>
    <w:rsid w:val="00AF5327"/>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DF7066"/>
    <w:rsid w:val="00E235F1"/>
    <w:rsid w:val="00E32A88"/>
    <w:rsid w:val="00E368D9"/>
    <w:rsid w:val="00E41D6A"/>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26EF"/>
    <w:rsid w:val="00F35DD7"/>
    <w:rsid w:val="00F35EAA"/>
    <w:rsid w:val="00F4185E"/>
    <w:rsid w:val="00F442C9"/>
    <w:rsid w:val="00F44AB6"/>
    <w:rsid w:val="00F51896"/>
    <w:rsid w:val="00F5632C"/>
    <w:rsid w:val="00F57939"/>
    <w:rsid w:val="00F66AE2"/>
    <w:rsid w:val="00F672D2"/>
    <w:rsid w:val="00F70815"/>
    <w:rsid w:val="00F72738"/>
    <w:rsid w:val="00F76A50"/>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FB24-07CA-4725-A503-72AE5F2E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4306</Words>
  <Characters>2455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6748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2020-01-11T07:47:00Z</dcterms:created>
  <dcterms:modified xsi:type="dcterms:W3CDTF">2020-01-11T08:35:00Z</dcterms:modified>
</cp:coreProperties>
</file>