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cs="Times New Roman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48"/>
          <w:szCs w:val="4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169.9pt;margin-top:1pt;width:339.05pt;height:69pt;z-index:251658240;visibility:visible;mso-position-horizontal-relative:text;mso-position-vertical-relative:text" filled="f" stroked="f" strokeweight=".5pt">
            <v:textbox style="mso-next-textbox:#Поле 21">
              <w:txbxContent>
                <w:p w:rsidR="00645842" w:rsidRPr="006C0696" w:rsidRDefault="00645842" w:rsidP="00645842">
                  <w:pPr>
                    <w:spacing w:after="0" w:line="240" w:lineRule="auto"/>
                    <w:rPr>
                      <w:rFonts w:ascii="e-Ukraine" w:hAnsi="e-Ukraine"/>
                      <w:bCs/>
                      <w:sz w:val="32"/>
                      <w:szCs w:val="32"/>
                    </w:rPr>
                  </w:pPr>
                  <w:r w:rsidRPr="006C0696">
                    <w:rPr>
                      <w:rFonts w:ascii="e-Ukraine" w:hAnsi="e-Ukraine"/>
                      <w:bCs/>
                      <w:sz w:val="32"/>
                      <w:szCs w:val="32"/>
                    </w:rPr>
                    <w:t>Державна податкова служба України</w:t>
                  </w:r>
                </w:p>
                <w:p w:rsidR="00645842" w:rsidRPr="006C0696" w:rsidRDefault="00645842" w:rsidP="00645842">
                  <w:pPr>
                    <w:spacing w:after="0" w:line="240" w:lineRule="auto"/>
                    <w:rPr>
                      <w:rFonts w:ascii="e-Ukraine" w:hAnsi="e-Ukraine"/>
                      <w:bCs/>
                      <w:sz w:val="6"/>
                      <w:szCs w:val="6"/>
                    </w:rPr>
                  </w:pPr>
                </w:p>
                <w:p w:rsidR="00645842" w:rsidRPr="006C0696" w:rsidRDefault="00645842" w:rsidP="00645842">
                  <w:pPr>
                    <w:spacing w:after="0" w:line="240" w:lineRule="auto"/>
                    <w:rPr>
                      <w:rFonts w:ascii="e-Ukraine" w:hAnsi="e-Ukraine"/>
                      <w:bCs/>
                      <w:sz w:val="32"/>
                      <w:szCs w:val="32"/>
                    </w:rPr>
                  </w:pPr>
                  <w:r w:rsidRPr="006C0696">
                    <w:rPr>
                      <w:rFonts w:ascii="e-Ukraine" w:hAnsi="e-Ukraine"/>
                      <w:bCs/>
                      <w:sz w:val="32"/>
                      <w:szCs w:val="32"/>
                    </w:rPr>
                    <w:t>Головне управління ДПС у</w:t>
                  </w:r>
                </w:p>
                <w:p w:rsidR="00645842" w:rsidRPr="006C0696" w:rsidRDefault="00645842" w:rsidP="00645842">
                  <w:pPr>
                    <w:spacing w:after="0" w:line="240" w:lineRule="auto"/>
                    <w:rPr>
                      <w:rFonts w:ascii="e-Ukraine" w:hAnsi="e-Ukraine" w:cs="Times New Roman"/>
                      <w:sz w:val="32"/>
                      <w:szCs w:val="32"/>
                    </w:rPr>
                  </w:pPr>
                  <w:r>
                    <w:rPr>
                      <w:rFonts w:ascii="e-Ukraine" w:hAnsi="e-Ukraine"/>
                      <w:bCs/>
                      <w:sz w:val="32"/>
                      <w:szCs w:val="32"/>
                    </w:rPr>
                    <w:t>Львівській</w:t>
                  </w:r>
                  <w:r w:rsidRPr="006C0696">
                    <w:rPr>
                      <w:rFonts w:ascii="e-Ukraine" w:hAnsi="e-Ukraine"/>
                      <w:bCs/>
                      <w:sz w:val="32"/>
                      <w:szCs w:val="32"/>
                    </w:rPr>
                    <w:t xml:space="preserve"> області</w:t>
                  </w:r>
                </w:p>
              </w:txbxContent>
            </v:textbox>
          </v:shape>
        </w:pict>
      </w:r>
      <w:r>
        <w:rPr>
          <w:rFonts w:cs="Times New Roman"/>
          <w:b/>
          <w:bCs/>
          <w:noProof/>
          <w:sz w:val="48"/>
          <w:szCs w:val="48"/>
          <w:lang w:eastAsia="uk-UA"/>
        </w:rPr>
        <w:pict>
          <v:shape id="Поле 10" o:spid="_x0000_s1030" type="#_x0000_t202" style="position:absolute;left:0;text-align:left;margin-left:-25.85pt;margin-top:715.7pt;width:508.55pt;height:60pt;z-index:251660288;visibility:visible;mso-position-horizontal-relative:text;mso-position-vertical-relative:text" fillcolor="#0070c0" stroked="f" strokeweight=".5pt">
            <v:textbox style="mso-next-textbox:#Поле 10">
              <w:txbxContent>
                <w:p w:rsidR="00645842" w:rsidRPr="0033212D" w:rsidRDefault="00645842" w:rsidP="0064584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0"/>
                      <w:szCs w:val="10"/>
                    </w:rPr>
                  </w:pPr>
                </w:p>
                <w:p w:rsidR="00645842" w:rsidRPr="0033212D" w:rsidRDefault="00645842" w:rsidP="0064584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</w:pP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.gov.ua</w:t>
                  </w:r>
                  <w:proofErr w:type="spellEnd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u w:val="single"/>
                    </w:rPr>
                    <w:t>.</w:t>
                  </w:r>
                </w:p>
                <w:p w:rsidR="00645842" w:rsidRPr="0033212D" w:rsidRDefault="00645842" w:rsidP="0064584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645842" w:rsidRPr="0033212D" w:rsidRDefault="00645842" w:rsidP="0064584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645842" w:rsidRPr="0033212D" w:rsidRDefault="00645842" w:rsidP="00645842">
                  <w:pPr>
                    <w:pStyle w:val="a5"/>
                    <w:spacing w:before="0" w:beforeAutospacing="0" w:after="0" w:afterAutospacing="0"/>
                    <w:jc w:val="center"/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33212D">
                    <w:rPr>
                      <w:rStyle w:val="a7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  <w:p w:rsidR="00645842" w:rsidRPr="00E32748" w:rsidRDefault="00645842" w:rsidP="00645842">
                  <w:pPr>
                    <w:spacing w:after="0" w:line="240" w:lineRule="auto"/>
                    <w:rPr>
                      <w:rFonts w:cs="Times New Roman"/>
                      <w:spacing w:val="-4"/>
                      <w:sz w:val="15"/>
                      <w:szCs w:val="15"/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bCs/>
          <w:noProof/>
          <w:sz w:val="48"/>
          <w:szCs w:val="4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6728460</wp:posOffset>
            </wp:positionH>
            <wp:positionV relativeFrom="paragraph">
              <wp:posOffset>509270</wp:posOffset>
            </wp:positionV>
            <wp:extent cx="828040" cy="260731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842">
        <w:rPr>
          <w:rFonts w:ascii="e-Ukraine" w:hAnsi="e-Ukraine"/>
          <w:sz w:val="24"/>
          <w:szCs w:val="24"/>
        </w:rPr>
        <w:t xml:space="preserve"> </w:t>
      </w: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e-Ukraine" w:hAnsi="e-Ukraine"/>
          <w:noProof/>
          <w:sz w:val="24"/>
          <w:szCs w:val="24"/>
          <w:lang w:eastAsia="uk-UA"/>
        </w:rPr>
        <w:pict>
          <v:shape id="Поле 8" o:spid="_x0000_s1031" type="#_x0000_t202" style="position:absolute;left:0;text-align:left;margin-left:10.15pt;margin-top:12.25pt;width:430.05pt;height:74.45pt;z-index:251661312;visibility:visible;v-text-anchor:middle" filled="f" stroked="f" strokeweight=".5pt">
            <v:textbox style="mso-next-textbox:#Поле 8">
              <w:txbxContent>
                <w:p w:rsidR="00645842" w:rsidRPr="00645842" w:rsidRDefault="00661C13" w:rsidP="0064584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>Джерела</w:t>
                  </w:r>
                  <w:r w:rsidR="00645842" w:rsidRPr="00645842"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="00645842" w:rsidRPr="00645842"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>погашення</w:t>
                  </w:r>
                  <w:proofErr w:type="spellEnd"/>
                  <w:r w:rsidR="00645842" w:rsidRPr="00645842"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="00645842" w:rsidRPr="00645842"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>податкового</w:t>
                  </w:r>
                  <w:proofErr w:type="spellEnd"/>
                  <w:r w:rsidR="00645842" w:rsidRPr="00645842">
                    <w:rPr>
                      <w:rFonts w:ascii="e-Ukraine Bold" w:hAnsi="e-Ukraine Bold"/>
                      <w:b/>
                      <w:sz w:val="32"/>
                      <w:szCs w:val="32"/>
                      <w:lang w:val="ru-RU"/>
                    </w:rPr>
                    <w:t xml:space="preserve"> боргу</w:t>
                  </w:r>
                </w:p>
              </w:txbxContent>
            </v:textbox>
          </v:shape>
        </w:pict>
      </w: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e-Ukraine" w:hAnsi="e-Ukraine"/>
          <w:noProof/>
          <w:sz w:val="24"/>
          <w:szCs w:val="24"/>
          <w:lang w:eastAsia="uk-UA"/>
        </w:rPr>
        <w:pict>
          <v:shape id="Поле 9" o:spid="_x0000_s1032" type="#_x0000_t202" style="position:absolute;left:0;text-align:left;margin-left:18.4pt;margin-top:.45pt;width:151.5pt;height:31.5pt;z-index:251662336;visibility:visible" filled="f" stroked="f" strokeweight=".5pt">
            <v:textbox style="mso-next-textbox:#Поле 9">
              <w:txbxContent>
                <w:p w:rsidR="00645842" w:rsidRPr="00275AD9" w:rsidRDefault="00A4258F" w:rsidP="00645842">
                  <w:pPr>
                    <w:rPr>
                      <w:rFonts w:ascii="e-Ukraine" w:hAnsi="e-Ukraine"/>
                      <w:i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e-Ukraine" w:hAnsi="e-Ukraine"/>
                      <w:i/>
                      <w:sz w:val="20"/>
                      <w:szCs w:val="20"/>
                    </w:rPr>
                    <w:t>08 листопада</w:t>
                  </w:r>
                  <w:r w:rsidR="00645842" w:rsidRPr="00275AD9">
                    <w:rPr>
                      <w:rFonts w:ascii="e-Ukraine" w:hAnsi="e-Ukraine"/>
                      <w:i/>
                      <w:sz w:val="20"/>
                      <w:szCs w:val="20"/>
                    </w:rPr>
                    <w:t xml:space="preserve"> </w:t>
                  </w:r>
                  <w:r w:rsidR="00645842" w:rsidRPr="00275AD9">
                    <w:rPr>
                      <w:rFonts w:ascii="e-Ukraine" w:hAnsi="e-Ukraine"/>
                      <w:i/>
                      <w:sz w:val="20"/>
                      <w:szCs w:val="20"/>
                      <w:lang w:val="ru-RU"/>
                    </w:rPr>
                    <w:t>2021 року</w:t>
                  </w:r>
                </w:p>
                <w:p w:rsidR="00645842" w:rsidRDefault="00645842" w:rsidP="00645842">
                  <w:pPr>
                    <w:rPr>
                      <w:i/>
                      <w:lang w:val="ru-RU"/>
                    </w:rPr>
                  </w:pPr>
                </w:p>
                <w:p w:rsidR="00645842" w:rsidRPr="00026C80" w:rsidRDefault="00645842" w:rsidP="00645842">
                  <w:pPr>
                    <w:rPr>
                      <w:i/>
                    </w:rPr>
                  </w:pPr>
                  <w:proofErr w:type="spellStart"/>
                  <w:r>
                    <w:rPr>
                      <w:i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 w:rsidRPr="00026C80">
                    <w:rPr>
                      <w:i/>
                    </w:rPr>
                    <w:t>201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року</w:t>
                  </w:r>
                  <w:r w:rsidRPr="00026C80">
                    <w:rPr>
                      <w:i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 w:rsidRPr="004444E2">
        <w:rPr>
          <w:rFonts w:ascii="e-Ukraine" w:hAnsi="e-Ukraine"/>
          <w:sz w:val="24"/>
          <w:szCs w:val="24"/>
        </w:rPr>
        <w:t xml:space="preserve">Головне управління ДПС у </w:t>
      </w:r>
      <w:r>
        <w:rPr>
          <w:rFonts w:ascii="e-Ukraine" w:hAnsi="e-Ukraine"/>
          <w:sz w:val="24"/>
          <w:szCs w:val="24"/>
        </w:rPr>
        <w:t>Львівській</w:t>
      </w:r>
      <w:r w:rsidRPr="004444E2">
        <w:rPr>
          <w:rFonts w:ascii="e-Ukraine" w:hAnsi="e-Ukraine"/>
          <w:sz w:val="24"/>
          <w:szCs w:val="24"/>
        </w:rPr>
        <w:t xml:space="preserve"> області доводить до відома, що не можуть бути використані як джерела погашення податкового боргу платника податків: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майно платника податків, надане ним у заставу іншим особам (на час дії такої застави), якщо така застава зареєстрована згідно із законом у відповідних державних реєстрах до моменту виникнення права податкової застави;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майно, яке належить на правах власності іншим особам та перебуває у володінні або користуванні платника податків, у тому числі (але не виключно) майно, передане платнику податків у лізинг, оренду, схов (відповідальне зберігання), ломбардний схов, на комісію (консигнацію); давальницька сировина, надана підприємству для переробки, крім її частини, що надається платнику податків як оплата за такі послуги, а також майно інших осіб, прийняті платником податків у заставу чи заклад, довірче та будь-які інші види агентського управління;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майнові права інших осіб, надані платнику податків у користування або володіння, а також немайнові права, у тому числі права інтелектуальної (промислової) власності, передані в користування такому платнику податків без права їх відчуження;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кошти кредитів або позик, наданих платнику податків кредитно-фінансовою установою, що обліковуються на позичкових рахунках, відкритих такому платнику податків, суми акредитивів, що виставлені на ім’я платника податків, але не відкриті, суми авансових платежів;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майно, вільний обіг якого заборонено згідно із законодавством України;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майно, що не може бути предметом застави відповідно до Закону України «Про заставу»;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44E2">
        <w:rPr>
          <w:rFonts w:ascii="e-Ukraine" w:hAnsi="e-Ukraine"/>
          <w:sz w:val="24"/>
          <w:szCs w:val="24"/>
        </w:rPr>
        <w:t xml:space="preserve"> кошти інших осіб, надані платнику податків у вклад (депозит) або довірче управління, а також власні кошти юридичної особи (фізичної особи – підприємця), що використовуються для виплат заборгованості з основної заробітної плати за фактично відпрацьований час фізичним особам, які перебувають у трудових відносинах з такою юридичною особою.</w:t>
      </w:r>
    </w:p>
    <w:p w:rsidR="00645842" w:rsidRPr="004444E2" w:rsidRDefault="00645842" w:rsidP="00645842">
      <w:pPr>
        <w:spacing w:after="0" w:line="240" w:lineRule="auto"/>
        <w:ind w:firstLine="709"/>
        <w:jc w:val="both"/>
        <w:rPr>
          <w:rFonts w:ascii="e-Ukraine" w:hAnsi="e-Ukraine"/>
          <w:sz w:val="24"/>
          <w:szCs w:val="24"/>
        </w:rPr>
      </w:pPr>
      <w:r w:rsidRPr="004444E2">
        <w:rPr>
          <w:rFonts w:ascii="e-Ukraine" w:hAnsi="e-Ukraine"/>
          <w:sz w:val="24"/>
          <w:szCs w:val="24"/>
        </w:rPr>
        <w:t>Норми встановлені п. 87.3 ст. 87 Податкового кодексу України.</w:t>
      </w:r>
    </w:p>
    <w:p w:rsidR="000008B5" w:rsidRDefault="000008B5"/>
    <w:sectPr w:rsidR="000008B5" w:rsidSect="000008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e-Ukraine Bold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478"/>
    <w:rsid w:val="000008B5"/>
    <w:rsid w:val="00586478"/>
    <w:rsid w:val="00645842"/>
    <w:rsid w:val="00661C13"/>
    <w:rsid w:val="00A4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4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4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6"/>
    <w:uiPriority w:val="99"/>
    <w:rsid w:val="0064584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645842"/>
    <w:rPr>
      <w:rFonts w:cs="Times New Roman"/>
      <w:b/>
      <w:bCs/>
    </w:rPr>
  </w:style>
  <w:style w:type="character" w:customStyle="1" w:styleId="a6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5"/>
    <w:uiPriority w:val="99"/>
    <w:locked/>
    <w:rsid w:val="00645842"/>
    <w:rPr>
      <w:rFonts w:ascii="Calibri" w:eastAsia="Times New Roman" w:hAnsi="Calibri" w:cs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3</cp:revision>
  <dcterms:created xsi:type="dcterms:W3CDTF">2021-11-08T14:26:00Z</dcterms:created>
  <dcterms:modified xsi:type="dcterms:W3CDTF">2021-11-08T14:54:00Z</dcterms:modified>
</cp:coreProperties>
</file>