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23771C">
      <w:pPr>
        <w:ind w:right="364"/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513"/>
      </w:tblGrid>
      <w:tr w:rsidR="00F05A47" w:rsidRPr="00CD15BB" w:rsidTr="0023771C">
        <w:tc>
          <w:tcPr>
            <w:tcW w:w="10774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23771C">
        <w:tc>
          <w:tcPr>
            <w:tcW w:w="567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7513" w:type="dxa"/>
          </w:tcPr>
          <w:p w:rsidR="00E73CB1" w:rsidRDefault="00595526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Поточний ремонт приміщення Центру обслуговування платників Городоцької ДПІ ГУ ДПС у Львівській області (адреса-81500, Львівська область, м. Городок, майдан Гайдамаків,буд.22)</w:t>
            </w:r>
            <w:r w:rsidR="00E73CB1" w:rsidRPr="00F924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5A47" w:rsidRPr="00595526" w:rsidRDefault="00E73CB1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словник»</w:t>
            </w:r>
            <w:r w:rsidR="00F11F47">
              <w:rPr>
                <w:rFonts w:ascii="Times New Roman" w:hAnsi="Times New Roman" w:cs="Times New Roman"/>
                <w:b/>
              </w:rPr>
              <w:t>- 45450000-6 – Інші завершальні будівельні роботи.</w:t>
            </w:r>
          </w:p>
        </w:tc>
      </w:tr>
      <w:tr w:rsidR="0079270B" w:rsidRPr="00CD15BB" w:rsidTr="0023771C">
        <w:trPr>
          <w:trHeight w:val="983"/>
        </w:trPr>
        <w:tc>
          <w:tcPr>
            <w:tcW w:w="567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tbl>
            <w:tblPr>
              <w:tblW w:w="8790" w:type="dxa"/>
              <w:jc w:val="center"/>
              <w:tblInd w:w="242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4322"/>
              <w:gridCol w:w="899"/>
              <w:gridCol w:w="1937"/>
            </w:tblGrid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2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і витрат</w:t>
                  </w:r>
                </w:p>
              </w:tc>
              <w:tc>
                <w:tcPr>
                  <w:tcW w:w="8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93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ind w:left="446"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дерев'яних плінтусів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покриттів підлог з лінолеуму та реліну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Розбирання покриттів підлог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деревностружкових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плит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 один шар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дощатих покриттів підлог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дощатих покриттів товщиною 36 мм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площею до 10 м2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покриттів з ламінату на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шумогідроізоляційній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прокладці без проклеювання швів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клеєм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Улаштування плінтусів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полівінілхлоридних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Знімання засклених віконних рам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4,95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Знімання дерев'яних підвіконних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дощок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в кам'яних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будівлях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1,12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віконних коробок в кам'яних стінах з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відбиванням штукатурки в укосах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Заповнення віконних прорізів готовими блоками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площею до 3 м2 з металопластику в кам'яних стінах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житлових і громадських будівель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4,86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пластикових підвіконних дошок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2,8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віконних зливів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2,7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Знімання дверних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полотен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2,52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дверних коробок в кам'яних стінах з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відбиванням штукатурки в укосах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Заповнення дверних прорізів готовими дверними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блоками площею понад 2 до 3 м2 з металопластику у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кам'яних стінах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2,72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Ремонт штукатурки прямолінійних укосів всередині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будівлі по каменю та бетону цементно-вапняним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розчином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5,1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Улаштування обшивки укосів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гіпсокартонними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і</w:t>
                  </w:r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гіпсоволокнистими листами з кріпленням на клеї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5,14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Шпаклювання стін мінеральною шпаклівкою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Cerezit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10,3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Поліпшене фарбування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полівінілацетатними</w:t>
                  </w:r>
                  <w:proofErr w:type="spellEnd"/>
                </w:p>
                <w:p w:rsidR="0023771C" w:rsidRDefault="0023771C" w:rsidP="00F93868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водоемульсійними сумішами стін по штукатурці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93868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10,3</w:t>
                  </w:r>
                </w:p>
              </w:tc>
            </w:tr>
            <w:tr w:rsidR="0023771C" w:rsidTr="0023771C">
              <w:trPr>
                <w:jc w:val="center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Ремонт штукатурки зовнішніх прямолінійних укосів по</w:t>
                  </w:r>
                </w:p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каменю та бетону з землі та риштувань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1,04</w:t>
                  </w:r>
                </w:p>
              </w:tc>
            </w:tr>
          </w:tbl>
          <w:tbl>
            <w:tblPr>
              <w:tblpPr w:leftFromText="180" w:rightFromText="180" w:vertAnchor="text" w:horzAnchor="margin" w:tblpX="423" w:tblpY="39"/>
              <w:tblW w:w="1094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4394"/>
              <w:gridCol w:w="851"/>
              <w:gridCol w:w="2736"/>
              <w:gridCol w:w="1843"/>
              <w:gridCol w:w="283"/>
            </w:tblGrid>
            <w:tr w:rsidR="0023771C" w:rsidTr="00F11F47">
              <w:trPr>
                <w:gridAfter w:val="1"/>
                <w:wAfter w:w="283" w:type="dxa"/>
              </w:trPr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Шпаклювання стін мінеральною шпаклівкою "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Cerezit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Поліпшене фарбування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полівінілацетатними</w:t>
                  </w:r>
                  <w:proofErr w:type="spellEnd"/>
                </w:p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водоемульсійними сумішами стін по штукатурці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1,04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F11F47">
                  <w:pPr>
                    <w:keepLines/>
                    <w:pBdr>
                      <w:right w:val="single" w:sz="4" w:space="4" w:color="auto"/>
                      <w:bar w:val="single" w:sz="4" w:color="auto"/>
                    </w:pBd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Поліпшене фарбування раніше пофарбованих дверей з</w:t>
                  </w:r>
                </w:p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розчищенням старої фарби до 35%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покриттів та основ бруківки з булижного</w:t>
                  </w:r>
                </w:p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каменю вручну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підстильного шару бетонного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покриттів з керамічних плиток на розчині</w:t>
                  </w:r>
                </w:p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із сухої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клеючої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суміші, кількість плиток в 1 м2 понад 7</w:t>
                  </w:r>
                </w:p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до 12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світильників з лампами розжарювання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771C" w:rsidTr="00F11F47">
              <w:tc>
                <w:tcPr>
                  <w:tcW w:w="83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1C" w:rsidRDefault="0023771C" w:rsidP="00DE335B">
                  <w:pPr>
                    <w:keepLines/>
                    <w:autoSpaceDE w:val="0"/>
                    <w:autoSpaceDN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світильників для люмінесцентних ламп, які</w:t>
                  </w:r>
                </w:p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встановлюються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штирах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, кількість ламп 1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1C" w:rsidRDefault="0023771C" w:rsidP="00F11F47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23771C" w:rsidRDefault="0023771C" w:rsidP="0023771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3771C" w:rsidRDefault="0023771C" w:rsidP="0023771C"/>
          <w:p w:rsidR="00E12A0A" w:rsidRPr="00716784" w:rsidRDefault="00E12A0A" w:rsidP="00716784">
            <w:pPr>
              <w:spacing w:line="170" w:lineRule="atLeast"/>
              <w:ind w:right="219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79270B" w:rsidRPr="00CD15BB" w:rsidTr="0023771C">
        <w:trPr>
          <w:trHeight w:val="1557"/>
        </w:trPr>
        <w:tc>
          <w:tcPr>
            <w:tcW w:w="567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7513" w:type="dxa"/>
          </w:tcPr>
          <w:p w:rsidR="00586143" w:rsidRPr="002E6271" w:rsidRDefault="00586143" w:rsidP="00586143">
            <w:pPr>
              <w:rPr>
                <w:rFonts w:ascii="Times New Roman" w:hAnsi="Times New Roman" w:cs="Times New Roman"/>
              </w:rPr>
            </w:pPr>
            <w:r w:rsidRPr="002E6271">
              <w:rPr>
                <w:rFonts w:ascii="Times New Roman" w:hAnsi="Times New Roman" w:cs="Times New Roman"/>
              </w:rPr>
              <w:t>Розрахунок очікуваної вартості обумовлений:</w:t>
            </w:r>
          </w:p>
          <w:p w:rsidR="0079270B" w:rsidRPr="00B41C99" w:rsidRDefault="00586143" w:rsidP="0058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рішенням Городоцької </w:t>
            </w:r>
            <w:r w:rsidRPr="002E6271">
              <w:rPr>
                <w:rFonts w:ascii="Times New Roman" w:hAnsi="Times New Roman" w:cs="Times New Roman"/>
              </w:rPr>
              <w:t>місь</w:t>
            </w:r>
            <w:r>
              <w:rPr>
                <w:rFonts w:ascii="Times New Roman" w:hAnsi="Times New Roman" w:cs="Times New Roman"/>
              </w:rPr>
              <w:t>кої ради Львівської області №427</w:t>
            </w:r>
            <w:r w:rsidRPr="002E6271">
              <w:rPr>
                <w:rFonts w:ascii="Times New Roman" w:hAnsi="Times New Roman" w:cs="Times New Roman"/>
              </w:rPr>
              <w:t xml:space="preserve"> від</w:t>
            </w:r>
            <w:r w:rsidRPr="004F6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25.02</w:t>
            </w:r>
            <w:r w:rsidRPr="002E6271">
              <w:rPr>
                <w:rFonts w:ascii="Times New Roman" w:hAnsi="Times New Roman" w:cs="Times New Roman"/>
              </w:rPr>
              <w:t xml:space="preserve">.2021 та становить 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000,00</w:t>
            </w:r>
            <w:r>
              <w:rPr>
                <w:rFonts w:ascii="Times New Roman" w:hAnsi="Times New Roman" w:cs="Times New Roman"/>
              </w:rPr>
              <w:t xml:space="preserve"> грн, зі змінами (рішення № 2605 від 28.10.2021р.).</w:t>
            </w:r>
            <w:r w:rsidRPr="002E6271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озмір бюджетного призначення 70000</w:t>
            </w:r>
            <w:bookmarkStart w:id="0" w:name="_GoBack"/>
            <w:bookmarkEnd w:id="0"/>
            <w:r w:rsidRPr="002E6271">
              <w:rPr>
                <w:rFonts w:ascii="Times New Roman" w:hAnsi="Times New Roman" w:cs="Times New Roman"/>
              </w:rPr>
              <w:t>, 00 грн за кошти місцевого бюджету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A06D0E"/>
    <w:multiLevelType w:val="hybridMultilevel"/>
    <w:tmpl w:val="1AD020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613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71C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17B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143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526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784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038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27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35B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CB1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1F47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C8AB-2903-4CC5-8813-99F4940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9</cp:revision>
  <cp:lastPrinted>2021-07-27T13:33:00Z</cp:lastPrinted>
  <dcterms:created xsi:type="dcterms:W3CDTF">2021-03-24T11:22:00Z</dcterms:created>
  <dcterms:modified xsi:type="dcterms:W3CDTF">2022-01-12T13:25:00Z</dcterms:modified>
</cp:coreProperties>
</file>