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9A" w:rsidRDefault="0096639A" w:rsidP="0096639A"/>
    <w:p w:rsidR="0096639A" w:rsidRDefault="0096639A" w:rsidP="0096639A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96639A" w:rsidRPr="001E785D" w:rsidRDefault="0096639A" w:rsidP="0096639A">
                  <w:pPr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96639A" w:rsidRPr="001E785D" w:rsidRDefault="0096639A" w:rsidP="0096639A">
                  <w:pPr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96639A" w:rsidRPr="001E785D" w:rsidRDefault="0096639A" w:rsidP="0096639A">
                  <w:pPr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96639A" w:rsidRDefault="0096639A" w:rsidP="0096639A">
                  <w:pPr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  <w:p w:rsidR="0096639A" w:rsidRPr="00C02F4A" w:rsidRDefault="0096639A" w:rsidP="0096639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6639A" w:rsidRDefault="0096639A" w:rsidP="0096639A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9A" w:rsidRDefault="0096639A" w:rsidP="0096639A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95.3pt;z-index:251660288;visibility:visible;v-text-anchor:middle" filled="f" stroked="f" strokeweight=".5pt">
            <v:textbox style="mso-next-textbox:#Поле 8">
              <w:txbxContent>
                <w:p w:rsidR="0096639A" w:rsidRPr="007A1C16" w:rsidRDefault="0096639A" w:rsidP="0096639A">
                  <w:pPr>
                    <w:jc w:val="center"/>
                  </w:pP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Внесення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до </w:t>
                  </w:r>
                  <w:proofErr w:type="gram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статутного</w:t>
                  </w:r>
                  <w:proofErr w:type="gram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фонду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іншої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юрособи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основних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засобів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: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податкові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наслідки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податком</w:t>
                  </w:r>
                  <w:proofErr w:type="spellEnd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на </w:t>
                  </w:r>
                  <w:proofErr w:type="spellStart"/>
                  <w:r w:rsidRPr="007A1C1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прибуток</w:t>
                  </w:r>
                  <w:proofErr w:type="spellEnd"/>
                </w:p>
              </w:txbxContent>
            </v:textbox>
          </v:shape>
        </w:pict>
      </w:r>
    </w:p>
    <w:p w:rsidR="0096639A" w:rsidRDefault="0096639A" w:rsidP="0096639A"/>
    <w:p w:rsidR="0096639A" w:rsidRDefault="0096639A" w:rsidP="0096639A"/>
    <w:p w:rsidR="0096639A" w:rsidRDefault="0096639A" w:rsidP="0096639A">
      <w:pPr>
        <w:pStyle w:val="a3"/>
        <w:jc w:val="both"/>
        <w:rPr>
          <w:sz w:val="28"/>
          <w:szCs w:val="28"/>
        </w:rPr>
      </w:pPr>
    </w:p>
    <w:p w:rsidR="0096639A" w:rsidRDefault="0096639A" w:rsidP="0096639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Головне управління ДПС у Львівській області нагадує, що об’єктом оподаткування податком на прибуток є прибуток із джерелом походження з України та за її межами, який визначається шляхом коригування (збільшення або зменшення) фінансового результату до оподаткування (прибутку або збитку), визначеного у фінансовій звітності підприємства відповідно до національних положень (стандартів) бухгалтерського обліку або міжнародних стандартів фінансової звітності, на різниці, які виникають відповідно до положень Податкового кодексу України (далі – ПКУ).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Розрахунок амортизації основних засобів та нематеріальних активів здійснюється відповідно до національних положень (стандартів) бухгалтерського обліку або міжнародних стандартів фінансової звітності з урахуванням обмежень, встановлених п. п. 14.1.138 п. 14.1 ст. 14 ПКУ, підпунктами 138.3.2 – 138.3.4 п. 138.3 ст. 138 ПКУ.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Методологічні засади формування в бухгалтерському обліку інформації про основні засоби, а також розкриття інформації про них у фінансовій звітності викладені у Національному положенні (стандарті) бухгалтерського обліку № 7 «Основні засоби», затвердженому наказом Міністерства фінансів України від 27.04.2000 № 92 зі змінами та доповненнями (далі – НП(С)БО 7).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Зокрема, п. 29 НП(С)БО 7 встановлено, що нарахування амортизації припиняється, починаючи з місяця наступного за місяцем вибуття об’єкта основних засобів.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Пунктом 40 Методичних рекомендацій з бухгалтерського обліку основних засобів, затверджених наказом Міністерства фінансів України від 30.09.2003 № 561, визначено, що об’єкт основних засобів перестає визнаватися активом (списується з балансу) у разі його вибуття внаслідок продажу, ліквідації, безоплатної передачі, нестачі, остаточного псування або інших причин невідповідності критеріям визнання активом.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При обчисленні об’єкта оподаткування податком на прибуток фінансовий результат до оподаткування коригується на різниці, які виникають при нарахуванні амортизації необоротних активів.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Так, фінансовий результат до оподаткування збільшується на суму залишкової вартості окремого об’єкта основних засобів або нематеріальних активів, визначеної відповідно до національних положень (стандартів) бухгалтерського обліку або міжнародних стандартів фінансової звітності, у разі ліквідації або продажу такого об’єкта.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При цьому, фінансовий результат до оподаткування зменшується на суму залишкової вартості окремого об’єкта основних засобів або нематеріальних активів, визначеної з урахуванням положень ст. 138 ПКУ, у разі ліквідації або продажу такого об’єкта (абзац третій п. 138.2 ст. 138 ПКУ).</w:t>
      </w:r>
    </w:p>
    <w:p w:rsidR="0096639A" w:rsidRPr="007A1C16" w:rsidRDefault="0096639A" w:rsidP="0096639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1C16">
        <w:rPr>
          <w:rFonts w:ascii="Times New Roman" w:hAnsi="Times New Roman" w:cs="Times New Roman"/>
          <w:sz w:val="24"/>
          <w:szCs w:val="24"/>
          <w:lang w:eastAsia="uk-UA"/>
        </w:rPr>
        <w:t>Таким чином, операція з внесення до статутного фонду іншої юридичної особи основних засобів та нематеріальних активів або повернення внеску засновнику у вигляді основних засобів розглядається як вибуття основного засобу і нематеріального активу, тому у податковому обліку проводяться коригування фінансового результату до оподаткування  для ліквідації або продажу основних засобів або нематеріальних активів.</w:t>
      </w:r>
    </w:p>
    <w:p w:rsidR="0096639A" w:rsidRPr="00D56BDD" w:rsidRDefault="0096639A" w:rsidP="0096639A">
      <w:pPr>
        <w:spacing w:before="100" w:beforeAutospacing="1" w:after="100" w:afterAutospacing="1"/>
        <w:jc w:val="both"/>
        <w:rPr>
          <w:rFonts w:ascii="e-Ukraine" w:hAnsi="e-Ukraine" w:cs="e-Ukraine"/>
          <w:color w:val="000000"/>
        </w:rPr>
      </w:pPr>
      <w:r w:rsidRPr="00F63BE0">
        <w:rPr>
          <w:rFonts w:ascii="Times New Roman" w:hAnsi="Times New Roman" w:cs="Times New Roman"/>
          <w:sz w:val="24"/>
          <w:szCs w:val="24"/>
          <w:lang w:eastAsia="uk-UA"/>
        </w:rPr>
        <w:t> </w:t>
      </w: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;mso-position-horizontal-relative:text;mso-position-vertical-relative:text" fillcolor="#0070c0" stroked="f" strokeweight=".5pt">
            <v:textbox style="mso-next-textbox:#Поле 10">
              <w:txbxContent>
                <w:p w:rsidR="0096639A" w:rsidRPr="0025556C" w:rsidRDefault="0096639A" w:rsidP="0096639A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96639A" w:rsidRPr="0025556C" w:rsidRDefault="0096639A" w:rsidP="0096639A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96639A" w:rsidRPr="0025556C" w:rsidRDefault="0096639A" w:rsidP="0096639A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96639A" w:rsidRPr="0025556C" w:rsidRDefault="0096639A" w:rsidP="0096639A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96639A" w:rsidRPr="00D56BDD" w:rsidRDefault="0096639A" w:rsidP="0096639A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630991" w:rsidRDefault="00630991"/>
    <w:sectPr w:rsidR="00630991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Kudriashov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39A"/>
    <w:rsid w:val="00630991"/>
    <w:rsid w:val="0096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9A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9663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6639A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96639A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66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3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1912</Words>
  <Characters>1090</Characters>
  <Application>Microsoft Office Word</Application>
  <DocSecurity>0</DocSecurity>
  <Lines>9</Lines>
  <Paragraphs>5</Paragraphs>
  <ScaleCrop>false</ScaleCrop>
  <Company>HP Inc.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2022-10-06T13:33:00Z</dcterms:created>
  <dcterms:modified xsi:type="dcterms:W3CDTF">2022-10-06T13:33:00Z</dcterms:modified>
</cp:coreProperties>
</file>