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C3" w:rsidRDefault="00236CEF"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rsidR="007F76C3" w:rsidRPr="00355706" w:rsidRDefault="007F76C3" w:rsidP="00773643">
                  <w:pPr>
                    <w:spacing w:after="0"/>
                    <w:rPr>
                      <w:rFonts w:ascii="Times New Roman" w:hAnsi="Times New Roman"/>
                      <w:b/>
                      <w:bCs/>
                      <w:sz w:val="28"/>
                      <w:szCs w:val="28"/>
                    </w:rPr>
                  </w:pPr>
                  <w:r w:rsidRPr="00355706">
                    <w:rPr>
                      <w:rFonts w:ascii="Times New Roman" w:hAnsi="Times New Roman"/>
                      <w:b/>
                      <w:bCs/>
                      <w:sz w:val="28"/>
                      <w:szCs w:val="28"/>
                    </w:rPr>
                    <w:t>Головне управління  ДПС   у  Львівській  області</w:t>
                  </w:r>
                </w:p>
                <w:p w:rsidR="007F76C3" w:rsidRPr="00355706" w:rsidRDefault="007F76C3" w:rsidP="00E720E5">
                  <w:pPr>
                    <w:spacing w:after="0"/>
                    <w:rPr>
                      <w:sz w:val="28"/>
                      <w:szCs w:val="28"/>
                    </w:rPr>
                  </w:pPr>
                  <w:r w:rsidRPr="00355706">
                    <w:rPr>
                      <w:rFonts w:ascii="Times New Roman" w:hAnsi="Times New Roman"/>
                      <w:b/>
                      <w:bCs/>
                      <w:sz w:val="28"/>
                      <w:szCs w:val="28"/>
                    </w:rPr>
                    <w:t>Турківська ДПІ</w:t>
                  </w:r>
                </w:p>
              </w:txbxContent>
            </v:textbox>
            <w10:wrap anchorx="margin"/>
          </v:shape>
        </w:pict>
      </w:r>
      <w:r w:rsidR="00976910">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F76C3" w:rsidRDefault="007F76C3" w:rsidP="00773643">
      <w:pPr>
        <w:jc w:val="center"/>
      </w:pPr>
    </w:p>
    <w:p w:rsidR="007F76C3" w:rsidRDefault="00236CEF" w:rsidP="008C6AF8">
      <w:pPr>
        <w:pStyle w:val="a3"/>
        <w:jc w:val="both"/>
      </w:pPr>
      <w:r>
        <w:rPr>
          <w:noProof/>
        </w:rPr>
        <w:pict>
          <v:rect id="Заголовок 1" o:spid="_x0000_s1029" style="position:absolute;left:0;text-align:left;margin-left:0;margin-top:8.5pt;width:517.5pt;height:54.45pt;z-index:25165619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w:txbxContent>
                <w:p w:rsidR="007F76C3" w:rsidRDefault="007F76C3" w:rsidP="00355706">
                  <w:pPr>
                    <w:pStyle w:val="a9"/>
                    <w:spacing w:line="242" w:lineRule="auto"/>
                  </w:pPr>
                  <w:r>
                    <w:rPr>
                      <w:color w:val="1D1D1B"/>
                    </w:rPr>
                    <w:t>Формула за якою обчислюється мінімальне податкове зобов’язання</w:t>
                  </w:r>
                  <w:r>
                    <w:rPr>
                      <w:color w:val="1D1D1B"/>
                      <w:spacing w:val="-77"/>
                    </w:rPr>
                    <w:t xml:space="preserve"> </w:t>
                  </w:r>
                  <w:r>
                    <w:rPr>
                      <w:color w:val="1D1D1B"/>
                    </w:rPr>
                    <w:t>щодо земельної ділянки, нормативна грошова оцінка якої не</w:t>
                  </w:r>
                  <w:r>
                    <w:rPr>
                      <w:color w:val="1D1D1B"/>
                      <w:spacing w:val="1"/>
                    </w:rPr>
                    <w:t xml:space="preserve"> </w:t>
                  </w:r>
                  <w:r>
                    <w:rPr>
                      <w:color w:val="1D1D1B"/>
                    </w:rPr>
                    <w:t>проведена</w:t>
                  </w:r>
                </w:p>
                <w:p w:rsidR="007F76C3" w:rsidRPr="00265979" w:rsidRDefault="007F76C3" w:rsidP="0074073F">
                  <w:pPr>
                    <w:pStyle w:val="1"/>
                    <w:spacing w:before="0" w:beforeAutospacing="0" w:after="0" w:afterAutospacing="0"/>
                    <w:rPr>
                      <w:sz w:val="28"/>
                      <w:szCs w:val="28"/>
                    </w:rPr>
                  </w:pPr>
                </w:p>
              </w:txbxContent>
            </v:textbox>
            <w10:wrap anchorx="margin"/>
          </v:rect>
        </w:pict>
      </w:r>
    </w:p>
    <w:p w:rsidR="007F76C3" w:rsidRDefault="007F76C3" w:rsidP="004D301E">
      <w:pPr>
        <w:pStyle w:val="a3"/>
        <w:spacing w:before="0" w:beforeAutospacing="0" w:after="0" w:afterAutospacing="0"/>
        <w:jc w:val="both"/>
        <w:rPr>
          <w:color w:val="000000"/>
          <w:sz w:val="32"/>
          <w:szCs w:val="32"/>
        </w:rPr>
      </w:pPr>
    </w:p>
    <w:p w:rsidR="007F76C3" w:rsidRDefault="007F76C3" w:rsidP="0067667D">
      <w:pPr>
        <w:spacing w:after="0" w:line="240" w:lineRule="auto"/>
        <w:jc w:val="both"/>
        <w:rPr>
          <w:rFonts w:ascii="Times New Roman" w:hAnsi="Times New Roman"/>
          <w:sz w:val="24"/>
          <w:szCs w:val="24"/>
        </w:rPr>
      </w:pPr>
    </w:p>
    <w:p w:rsidR="007F76C3" w:rsidRPr="00853A56" w:rsidRDefault="007F76C3" w:rsidP="00355706">
      <w:pPr>
        <w:pStyle w:val="ab"/>
        <w:spacing w:before="243"/>
        <w:ind w:right="163"/>
      </w:pPr>
      <w:r w:rsidRPr="00853A56">
        <w:t>Відповідно до положень Податкового кодексу України для власників, орендарів та</w:t>
      </w:r>
      <w:r w:rsidRPr="00853A56">
        <w:rPr>
          <w:spacing w:val="1"/>
        </w:rPr>
        <w:t xml:space="preserve"> </w:t>
      </w:r>
      <w:r w:rsidRPr="00853A56">
        <w:t>користувачів земельними ділянками, віднесеними до сільськогосподарських угідь,</w:t>
      </w:r>
      <w:r w:rsidRPr="00853A56">
        <w:rPr>
          <w:spacing w:val="1"/>
        </w:rPr>
        <w:t xml:space="preserve"> </w:t>
      </w:r>
      <w:r w:rsidRPr="00853A56">
        <w:t>першим</w:t>
      </w:r>
      <w:r w:rsidRPr="00853A56">
        <w:rPr>
          <w:spacing w:val="-4"/>
        </w:rPr>
        <w:t xml:space="preserve"> </w:t>
      </w:r>
      <w:r w:rsidRPr="00853A56">
        <w:t>роком</w:t>
      </w:r>
      <w:r w:rsidRPr="00853A56">
        <w:rPr>
          <w:spacing w:val="-4"/>
        </w:rPr>
        <w:t xml:space="preserve"> </w:t>
      </w:r>
      <w:r w:rsidRPr="00853A56">
        <w:t>для</w:t>
      </w:r>
      <w:r w:rsidRPr="00853A56">
        <w:rPr>
          <w:spacing w:val="-2"/>
        </w:rPr>
        <w:t xml:space="preserve"> </w:t>
      </w:r>
      <w:r w:rsidRPr="00853A56">
        <w:t>визначення</w:t>
      </w:r>
      <w:r w:rsidRPr="00853A56">
        <w:rPr>
          <w:spacing w:val="-1"/>
        </w:rPr>
        <w:t xml:space="preserve"> </w:t>
      </w:r>
      <w:r w:rsidRPr="00853A56">
        <w:t>мінімального податкового</w:t>
      </w:r>
      <w:r w:rsidRPr="00853A56">
        <w:rPr>
          <w:spacing w:val="-1"/>
        </w:rPr>
        <w:t xml:space="preserve"> </w:t>
      </w:r>
      <w:r w:rsidRPr="00853A56">
        <w:t>зобов'язання</w:t>
      </w:r>
      <w:r w:rsidRPr="00853A56">
        <w:rPr>
          <w:spacing w:val="-1"/>
        </w:rPr>
        <w:t xml:space="preserve"> </w:t>
      </w:r>
      <w:r w:rsidRPr="00853A56">
        <w:t>є</w:t>
      </w:r>
      <w:r w:rsidRPr="00853A56">
        <w:rPr>
          <w:spacing w:val="-3"/>
        </w:rPr>
        <w:t xml:space="preserve"> </w:t>
      </w:r>
      <w:r w:rsidRPr="00853A56">
        <w:t>2022</w:t>
      </w:r>
      <w:r w:rsidRPr="00853A56">
        <w:rPr>
          <w:spacing w:val="-4"/>
        </w:rPr>
        <w:t xml:space="preserve"> </w:t>
      </w:r>
      <w:r w:rsidRPr="00853A56">
        <w:t>рік.</w:t>
      </w:r>
    </w:p>
    <w:p w:rsidR="007F76C3" w:rsidRPr="00853A56" w:rsidRDefault="007F76C3" w:rsidP="00355706">
      <w:pPr>
        <w:pStyle w:val="ab"/>
        <w:ind w:right="162"/>
      </w:pPr>
      <w:r w:rsidRPr="00853A56">
        <w:t>Мінімальне податкове зобов'язання (МПЗ) щодо земельної ділянки, нормативна</w:t>
      </w:r>
      <w:r w:rsidRPr="00853A56">
        <w:rPr>
          <w:spacing w:val="1"/>
        </w:rPr>
        <w:t xml:space="preserve"> </w:t>
      </w:r>
      <w:r w:rsidRPr="00853A56">
        <w:t>грошова</w:t>
      </w:r>
      <w:r w:rsidRPr="00853A56">
        <w:rPr>
          <w:spacing w:val="-4"/>
        </w:rPr>
        <w:t xml:space="preserve"> </w:t>
      </w:r>
      <w:r w:rsidRPr="00853A56">
        <w:t>оцінка якої</w:t>
      </w:r>
      <w:r w:rsidRPr="00853A56">
        <w:rPr>
          <w:spacing w:val="-3"/>
        </w:rPr>
        <w:t xml:space="preserve"> </w:t>
      </w:r>
      <w:r w:rsidRPr="00853A56">
        <w:t>не</w:t>
      </w:r>
      <w:r w:rsidRPr="00853A56">
        <w:rPr>
          <w:spacing w:val="-1"/>
        </w:rPr>
        <w:t xml:space="preserve"> </w:t>
      </w:r>
      <w:r w:rsidRPr="00853A56">
        <w:t>проведена, обчислюється</w:t>
      </w:r>
      <w:r w:rsidRPr="00853A56">
        <w:rPr>
          <w:spacing w:val="-1"/>
        </w:rPr>
        <w:t xml:space="preserve"> </w:t>
      </w:r>
      <w:r w:rsidRPr="00853A56">
        <w:t>за</w:t>
      </w:r>
      <w:r w:rsidRPr="00853A56">
        <w:rPr>
          <w:spacing w:val="-1"/>
        </w:rPr>
        <w:t xml:space="preserve"> </w:t>
      </w:r>
      <w:r w:rsidRPr="00853A56">
        <w:t>формулою:</w:t>
      </w:r>
    </w:p>
    <w:p w:rsidR="007F76C3" w:rsidRPr="00853A56" w:rsidRDefault="007F76C3" w:rsidP="00355706">
      <w:pPr>
        <w:pStyle w:val="ab"/>
      </w:pPr>
      <w:r w:rsidRPr="00853A56">
        <w:t>МПЗ</w:t>
      </w:r>
      <w:r w:rsidRPr="00853A56">
        <w:rPr>
          <w:spacing w:val="-1"/>
        </w:rPr>
        <w:t xml:space="preserve"> </w:t>
      </w:r>
      <w:r w:rsidRPr="00853A56">
        <w:t>=</w:t>
      </w:r>
      <w:r w:rsidRPr="00853A56">
        <w:rPr>
          <w:spacing w:val="-1"/>
        </w:rPr>
        <w:t xml:space="preserve"> </w:t>
      </w:r>
      <w:r w:rsidRPr="00853A56">
        <w:t>НГО</w:t>
      </w:r>
      <w:r w:rsidRPr="00853A56">
        <w:rPr>
          <w:spacing w:val="-3"/>
        </w:rPr>
        <w:t xml:space="preserve"> </w:t>
      </w:r>
      <w:r w:rsidRPr="00853A56">
        <w:t>x S</w:t>
      </w:r>
      <w:r w:rsidRPr="00853A56">
        <w:rPr>
          <w:spacing w:val="-2"/>
        </w:rPr>
        <w:t xml:space="preserve"> </w:t>
      </w:r>
      <w:r w:rsidRPr="00853A56">
        <w:t>x К</w:t>
      </w:r>
      <w:r w:rsidRPr="00853A56">
        <w:rPr>
          <w:spacing w:val="-3"/>
        </w:rPr>
        <w:t xml:space="preserve"> </w:t>
      </w:r>
      <w:r w:rsidRPr="00853A56">
        <w:t>x М/12,</w:t>
      </w:r>
      <w:r w:rsidRPr="00853A56">
        <w:rPr>
          <w:spacing w:val="-1"/>
        </w:rPr>
        <w:t xml:space="preserve"> </w:t>
      </w:r>
      <w:r w:rsidRPr="00853A56">
        <w:t>де:</w:t>
      </w:r>
    </w:p>
    <w:p w:rsidR="007F76C3" w:rsidRPr="00853A56" w:rsidRDefault="007F76C3" w:rsidP="00355706">
      <w:pPr>
        <w:pStyle w:val="a7"/>
        <w:widowControl w:val="0"/>
        <w:numPr>
          <w:ilvl w:val="0"/>
          <w:numId w:val="3"/>
        </w:numPr>
        <w:tabs>
          <w:tab w:val="left" w:pos="326"/>
        </w:tabs>
        <w:autoSpaceDE w:val="0"/>
        <w:autoSpaceDN w:val="0"/>
        <w:spacing w:before="1" w:after="0" w:line="322" w:lineRule="exact"/>
        <w:ind w:left="325" w:hanging="213"/>
        <w:contextualSpacing w:val="0"/>
        <w:jc w:val="both"/>
        <w:rPr>
          <w:rFonts w:ascii="Times New Roman" w:hAnsi="Times New Roman"/>
          <w:sz w:val="28"/>
        </w:rPr>
      </w:pPr>
      <w:r w:rsidRPr="00853A56">
        <w:rPr>
          <w:rFonts w:ascii="Times New Roman" w:hAnsi="Times New Roman"/>
          <w:sz w:val="28"/>
        </w:rPr>
        <w:t>МПЗ</w:t>
      </w:r>
      <w:r w:rsidRPr="00853A56">
        <w:rPr>
          <w:rFonts w:ascii="Times New Roman" w:hAnsi="Times New Roman"/>
          <w:spacing w:val="-5"/>
          <w:sz w:val="28"/>
        </w:rPr>
        <w:t xml:space="preserve"> </w:t>
      </w:r>
      <w:r w:rsidRPr="00853A56">
        <w:rPr>
          <w:rFonts w:ascii="Times New Roman" w:hAnsi="Times New Roman"/>
          <w:sz w:val="28"/>
        </w:rPr>
        <w:t>–</w:t>
      </w:r>
      <w:r w:rsidRPr="00853A56">
        <w:rPr>
          <w:rFonts w:ascii="Times New Roman" w:hAnsi="Times New Roman"/>
          <w:spacing w:val="-3"/>
          <w:sz w:val="28"/>
        </w:rPr>
        <w:t xml:space="preserve"> </w:t>
      </w:r>
      <w:r w:rsidRPr="00853A56">
        <w:rPr>
          <w:rFonts w:ascii="Times New Roman" w:hAnsi="Times New Roman"/>
          <w:sz w:val="28"/>
        </w:rPr>
        <w:t>мінімальне</w:t>
      </w:r>
      <w:r w:rsidRPr="00853A56">
        <w:rPr>
          <w:rFonts w:ascii="Times New Roman" w:hAnsi="Times New Roman"/>
          <w:spacing w:val="-4"/>
          <w:sz w:val="28"/>
        </w:rPr>
        <w:t xml:space="preserve"> </w:t>
      </w:r>
      <w:r w:rsidRPr="00853A56">
        <w:rPr>
          <w:rFonts w:ascii="Times New Roman" w:hAnsi="Times New Roman"/>
          <w:sz w:val="28"/>
        </w:rPr>
        <w:t>податкове</w:t>
      </w:r>
      <w:r w:rsidRPr="00853A56">
        <w:rPr>
          <w:rFonts w:ascii="Times New Roman" w:hAnsi="Times New Roman"/>
          <w:spacing w:val="-4"/>
          <w:sz w:val="28"/>
        </w:rPr>
        <w:t xml:space="preserve"> </w:t>
      </w:r>
      <w:r w:rsidRPr="00853A56">
        <w:rPr>
          <w:rFonts w:ascii="Times New Roman" w:hAnsi="Times New Roman"/>
          <w:sz w:val="28"/>
        </w:rPr>
        <w:t>зобов'язання;</w:t>
      </w:r>
    </w:p>
    <w:p w:rsidR="007F76C3" w:rsidRPr="00853A56" w:rsidRDefault="007F76C3" w:rsidP="00355706">
      <w:pPr>
        <w:pStyle w:val="a7"/>
        <w:widowControl w:val="0"/>
        <w:numPr>
          <w:ilvl w:val="0"/>
          <w:numId w:val="3"/>
        </w:numPr>
        <w:tabs>
          <w:tab w:val="left" w:pos="383"/>
        </w:tabs>
        <w:autoSpaceDE w:val="0"/>
        <w:autoSpaceDN w:val="0"/>
        <w:spacing w:after="0" w:line="240" w:lineRule="auto"/>
        <w:ind w:right="165" w:firstLine="0"/>
        <w:contextualSpacing w:val="0"/>
        <w:jc w:val="both"/>
        <w:rPr>
          <w:rFonts w:ascii="Times New Roman" w:hAnsi="Times New Roman"/>
          <w:sz w:val="28"/>
        </w:rPr>
      </w:pPr>
      <w:r w:rsidRPr="00853A56">
        <w:rPr>
          <w:rFonts w:ascii="Times New Roman" w:hAnsi="Times New Roman"/>
          <w:sz w:val="28"/>
        </w:rPr>
        <w:t>НГО – нормативна грошова оцінка 1 гектара ріллі по Автономній Республіці</w:t>
      </w:r>
      <w:r w:rsidRPr="00853A56">
        <w:rPr>
          <w:rFonts w:ascii="Times New Roman" w:hAnsi="Times New Roman"/>
          <w:spacing w:val="1"/>
          <w:sz w:val="28"/>
        </w:rPr>
        <w:t xml:space="preserve"> </w:t>
      </w:r>
      <w:r w:rsidRPr="00853A56">
        <w:rPr>
          <w:rFonts w:ascii="Times New Roman" w:hAnsi="Times New Roman"/>
          <w:sz w:val="28"/>
        </w:rPr>
        <w:t>Крим або по області з урахуванням коефіцієнта індексації, визначеного відповідно</w:t>
      </w:r>
      <w:r w:rsidRPr="00853A56">
        <w:rPr>
          <w:rFonts w:ascii="Times New Roman" w:hAnsi="Times New Roman"/>
          <w:spacing w:val="1"/>
          <w:sz w:val="28"/>
        </w:rPr>
        <w:t xml:space="preserve"> </w:t>
      </w:r>
      <w:r w:rsidRPr="00853A56">
        <w:rPr>
          <w:rFonts w:ascii="Times New Roman" w:hAnsi="Times New Roman"/>
          <w:sz w:val="28"/>
        </w:rPr>
        <w:t>до</w:t>
      </w:r>
      <w:r w:rsidRPr="00853A56">
        <w:rPr>
          <w:rFonts w:ascii="Times New Roman" w:hAnsi="Times New Roman"/>
          <w:spacing w:val="-3"/>
          <w:sz w:val="28"/>
        </w:rPr>
        <w:t xml:space="preserve"> </w:t>
      </w:r>
      <w:r w:rsidRPr="00853A56">
        <w:rPr>
          <w:rFonts w:ascii="Times New Roman" w:hAnsi="Times New Roman"/>
          <w:sz w:val="28"/>
        </w:rPr>
        <w:t>порядку,</w:t>
      </w:r>
      <w:r w:rsidRPr="00853A56">
        <w:rPr>
          <w:rFonts w:ascii="Times New Roman" w:hAnsi="Times New Roman"/>
          <w:spacing w:val="-1"/>
          <w:sz w:val="28"/>
        </w:rPr>
        <w:t xml:space="preserve"> </w:t>
      </w:r>
      <w:r w:rsidRPr="00853A56">
        <w:rPr>
          <w:rFonts w:ascii="Times New Roman" w:hAnsi="Times New Roman"/>
          <w:sz w:val="28"/>
        </w:rPr>
        <w:t>встановленого</w:t>
      </w:r>
      <w:r w:rsidRPr="00853A56">
        <w:rPr>
          <w:rFonts w:ascii="Times New Roman" w:hAnsi="Times New Roman"/>
          <w:spacing w:val="1"/>
          <w:sz w:val="28"/>
        </w:rPr>
        <w:t xml:space="preserve"> </w:t>
      </w:r>
      <w:r w:rsidRPr="00853A56">
        <w:rPr>
          <w:rFonts w:ascii="Times New Roman" w:hAnsi="Times New Roman"/>
          <w:sz w:val="28"/>
        </w:rPr>
        <w:t>ПКУ</w:t>
      </w:r>
      <w:r w:rsidRPr="00853A56">
        <w:rPr>
          <w:rFonts w:ascii="Times New Roman" w:hAnsi="Times New Roman"/>
          <w:spacing w:val="-3"/>
          <w:sz w:val="28"/>
        </w:rPr>
        <w:t xml:space="preserve"> </w:t>
      </w:r>
      <w:r w:rsidRPr="00853A56">
        <w:rPr>
          <w:rFonts w:ascii="Times New Roman" w:hAnsi="Times New Roman"/>
          <w:sz w:val="28"/>
        </w:rPr>
        <w:t>для</w:t>
      </w:r>
      <w:r w:rsidRPr="00853A56">
        <w:rPr>
          <w:rFonts w:ascii="Times New Roman" w:hAnsi="Times New Roman"/>
          <w:spacing w:val="-1"/>
          <w:sz w:val="28"/>
        </w:rPr>
        <w:t xml:space="preserve"> </w:t>
      </w:r>
      <w:r w:rsidRPr="00853A56">
        <w:rPr>
          <w:rFonts w:ascii="Times New Roman" w:hAnsi="Times New Roman"/>
          <w:sz w:val="28"/>
        </w:rPr>
        <w:t>справляння плати</w:t>
      </w:r>
      <w:r w:rsidRPr="00853A56">
        <w:rPr>
          <w:rFonts w:ascii="Times New Roman" w:hAnsi="Times New Roman"/>
          <w:spacing w:val="-1"/>
          <w:sz w:val="28"/>
        </w:rPr>
        <w:t xml:space="preserve"> </w:t>
      </w:r>
      <w:r w:rsidRPr="00853A56">
        <w:rPr>
          <w:rFonts w:ascii="Times New Roman" w:hAnsi="Times New Roman"/>
          <w:sz w:val="28"/>
        </w:rPr>
        <w:t>за</w:t>
      </w:r>
      <w:r w:rsidRPr="00853A56">
        <w:rPr>
          <w:rFonts w:ascii="Times New Roman" w:hAnsi="Times New Roman"/>
          <w:spacing w:val="-1"/>
          <w:sz w:val="28"/>
        </w:rPr>
        <w:t xml:space="preserve"> </w:t>
      </w:r>
      <w:r w:rsidRPr="00853A56">
        <w:rPr>
          <w:rFonts w:ascii="Times New Roman" w:hAnsi="Times New Roman"/>
          <w:sz w:val="28"/>
        </w:rPr>
        <w:t>землю;</w:t>
      </w:r>
    </w:p>
    <w:p w:rsidR="007F76C3" w:rsidRPr="00853A56" w:rsidRDefault="007F76C3" w:rsidP="00355706">
      <w:pPr>
        <w:pStyle w:val="a7"/>
        <w:widowControl w:val="0"/>
        <w:numPr>
          <w:ilvl w:val="0"/>
          <w:numId w:val="3"/>
        </w:numPr>
        <w:tabs>
          <w:tab w:val="left" w:pos="326"/>
        </w:tabs>
        <w:autoSpaceDE w:val="0"/>
        <w:autoSpaceDN w:val="0"/>
        <w:spacing w:after="0" w:line="321" w:lineRule="exact"/>
        <w:ind w:left="325" w:hanging="213"/>
        <w:contextualSpacing w:val="0"/>
        <w:jc w:val="both"/>
        <w:rPr>
          <w:rFonts w:ascii="Times New Roman" w:hAnsi="Times New Roman"/>
          <w:sz w:val="28"/>
        </w:rPr>
      </w:pPr>
      <w:r w:rsidRPr="00853A56">
        <w:rPr>
          <w:rFonts w:ascii="Times New Roman" w:hAnsi="Times New Roman"/>
          <w:sz w:val="28"/>
        </w:rPr>
        <w:t>S</w:t>
      </w:r>
      <w:r w:rsidRPr="00853A56">
        <w:rPr>
          <w:rFonts w:ascii="Times New Roman" w:hAnsi="Times New Roman"/>
          <w:spacing w:val="-4"/>
          <w:sz w:val="28"/>
        </w:rPr>
        <w:t xml:space="preserve"> </w:t>
      </w:r>
      <w:r w:rsidRPr="00853A56">
        <w:rPr>
          <w:rFonts w:ascii="Times New Roman" w:hAnsi="Times New Roman"/>
          <w:sz w:val="28"/>
        </w:rPr>
        <w:t>–</w:t>
      </w:r>
      <w:r w:rsidRPr="00853A56">
        <w:rPr>
          <w:rFonts w:ascii="Times New Roman" w:hAnsi="Times New Roman"/>
          <w:spacing w:val="-2"/>
          <w:sz w:val="28"/>
        </w:rPr>
        <w:t xml:space="preserve"> </w:t>
      </w:r>
      <w:r w:rsidRPr="00853A56">
        <w:rPr>
          <w:rFonts w:ascii="Times New Roman" w:hAnsi="Times New Roman"/>
          <w:sz w:val="28"/>
        </w:rPr>
        <w:t>площа</w:t>
      </w:r>
      <w:r w:rsidRPr="00853A56">
        <w:rPr>
          <w:rFonts w:ascii="Times New Roman" w:hAnsi="Times New Roman"/>
          <w:spacing w:val="-2"/>
          <w:sz w:val="28"/>
        </w:rPr>
        <w:t xml:space="preserve"> </w:t>
      </w:r>
      <w:r w:rsidRPr="00853A56">
        <w:rPr>
          <w:rFonts w:ascii="Times New Roman" w:hAnsi="Times New Roman"/>
          <w:sz w:val="28"/>
        </w:rPr>
        <w:t>земельної</w:t>
      </w:r>
      <w:r w:rsidRPr="00853A56">
        <w:rPr>
          <w:rFonts w:ascii="Times New Roman" w:hAnsi="Times New Roman"/>
          <w:spacing w:val="-4"/>
          <w:sz w:val="28"/>
        </w:rPr>
        <w:t xml:space="preserve"> </w:t>
      </w:r>
      <w:r w:rsidRPr="00853A56">
        <w:rPr>
          <w:rFonts w:ascii="Times New Roman" w:hAnsi="Times New Roman"/>
          <w:sz w:val="28"/>
        </w:rPr>
        <w:t>ділянки,</w:t>
      </w:r>
      <w:r w:rsidRPr="00853A56">
        <w:rPr>
          <w:rFonts w:ascii="Times New Roman" w:hAnsi="Times New Roman"/>
          <w:spacing w:val="-2"/>
          <w:sz w:val="28"/>
        </w:rPr>
        <w:t xml:space="preserve"> </w:t>
      </w:r>
      <w:r w:rsidRPr="00853A56">
        <w:rPr>
          <w:rFonts w:ascii="Times New Roman" w:hAnsi="Times New Roman"/>
          <w:sz w:val="28"/>
        </w:rPr>
        <w:t>гектарах;</w:t>
      </w:r>
    </w:p>
    <w:p w:rsidR="007F76C3" w:rsidRPr="00853A56" w:rsidRDefault="007F76C3" w:rsidP="00355706">
      <w:pPr>
        <w:pStyle w:val="a7"/>
        <w:widowControl w:val="0"/>
        <w:numPr>
          <w:ilvl w:val="0"/>
          <w:numId w:val="3"/>
        </w:numPr>
        <w:tabs>
          <w:tab w:val="left" w:pos="350"/>
        </w:tabs>
        <w:autoSpaceDE w:val="0"/>
        <w:autoSpaceDN w:val="0"/>
        <w:spacing w:after="0" w:line="240" w:lineRule="auto"/>
        <w:ind w:right="161" w:firstLine="0"/>
        <w:contextualSpacing w:val="0"/>
        <w:jc w:val="both"/>
        <w:rPr>
          <w:rFonts w:ascii="Times New Roman" w:hAnsi="Times New Roman"/>
          <w:sz w:val="28"/>
        </w:rPr>
      </w:pPr>
      <w:r w:rsidRPr="00853A56">
        <w:rPr>
          <w:rFonts w:ascii="Times New Roman" w:hAnsi="Times New Roman"/>
          <w:sz w:val="28"/>
        </w:rPr>
        <w:t>М – кількість календарних місяців, протягом яких земельна ділянка перебуває у</w:t>
      </w:r>
      <w:r w:rsidRPr="00853A56">
        <w:rPr>
          <w:rFonts w:ascii="Times New Roman" w:hAnsi="Times New Roman"/>
          <w:spacing w:val="1"/>
          <w:sz w:val="28"/>
        </w:rPr>
        <w:t xml:space="preserve"> </w:t>
      </w:r>
      <w:r w:rsidRPr="00853A56">
        <w:rPr>
          <w:rFonts w:ascii="Times New Roman" w:hAnsi="Times New Roman"/>
          <w:sz w:val="28"/>
        </w:rPr>
        <w:t>власності,</w:t>
      </w:r>
      <w:r w:rsidRPr="00853A56">
        <w:rPr>
          <w:rFonts w:ascii="Times New Roman" w:hAnsi="Times New Roman"/>
          <w:spacing w:val="1"/>
          <w:sz w:val="28"/>
        </w:rPr>
        <w:t xml:space="preserve"> </w:t>
      </w:r>
      <w:r w:rsidRPr="00853A56">
        <w:rPr>
          <w:rFonts w:ascii="Times New Roman" w:hAnsi="Times New Roman"/>
          <w:sz w:val="28"/>
        </w:rPr>
        <w:t>оренді,</w:t>
      </w:r>
      <w:r w:rsidRPr="00853A56">
        <w:rPr>
          <w:rFonts w:ascii="Times New Roman" w:hAnsi="Times New Roman"/>
          <w:spacing w:val="1"/>
          <w:sz w:val="28"/>
        </w:rPr>
        <w:t xml:space="preserve"> </w:t>
      </w:r>
      <w:r w:rsidRPr="00853A56">
        <w:rPr>
          <w:rFonts w:ascii="Times New Roman" w:hAnsi="Times New Roman"/>
          <w:sz w:val="28"/>
        </w:rPr>
        <w:t>користуванні</w:t>
      </w:r>
      <w:r w:rsidRPr="00853A56">
        <w:rPr>
          <w:rFonts w:ascii="Times New Roman" w:hAnsi="Times New Roman"/>
          <w:spacing w:val="1"/>
          <w:sz w:val="28"/>
        </w:rPr>
        <w:t xml:space="preserve"> </w:t>
      </w:r>
      <w:r w:rsidRPr="00853A56">
        <w:rPr>
          <w:rFonts w:ascii="Times New Roman" w:hAnsi="Times New Roman"/>
          <w:sz w:val="28"/>
        </w:rPr>
        <w:t>на</w:t>
      </w:r>
      <w:r w:rsidRPr="00853A56">
        <w:rPr>
          <w:rFonts w:ascii="Times New Roman" w:hAnsi="Times New Roman"/>
          <w:spacing w:val="1"/>
          <w:sz w:val="28"/>
        </w:rPr>
        <w:t xml:space="preserve"> </w:t>
      </w:r>
      <w:r w:rsidRPr="00853A56">
        <w:rPr>
          <w:rFonts w:ascii="Times New Roman" w:hAnsi="Times New Roman"/>
          <w:sz w:val="28"/>
        </w:rPr>
        <w:t>інших</w:t>
      </w:r>
      <w:r w:rsidRPr="00853A56">
        <w:rPr>
          <w:rFonts w:ascii="Times New Roman" w:hAnsi="Times New Roman"/>
          <w:spacing w:val="1"/>
          <w:sz w:val="28"/>
        </w:rPr>
        <w:t xml:space="preserve"> </w:t>
      </w:r>
      <w:r w:rsidRPr="00853A56">
        <w:rPr>
          <w:rFonts w:ascii="Times New Roman" w:hAnsi="Times New Roman"/>
          <w:sz w:val="28"/>
        </w:rPr>
        <w:t>умовах</w:t>
      </w:r>
      <w:r w:rsidRPr="00853A56">
        <w:rPr>
          <w:rFonts w:ascii="Times New Roman" w:hAnsi="Times New Roman"/>
          <w:spacing w:val="1"/>
          <w:sz w:val="28"/>
        </w:rPr>
        <w:t xml:space="preserve"> </w:t>
      </w:r>
      <w:r w:rsidRPr="00853A56">
        <w:rPr>
          <w:rFonts w:ascii="Times New Roman" w:hAnsi="Times New Roman"/>
          <w:sz w:val="28"/>
        </w:rPr>
        <w:t>(в</w:t>
      </w:r>
      <w:r w:rsidRPr="00853A56">
        <w:rPr>
          <w:rFonts w:ascii="Times New Roman" w:hAnsi="Times New Roman"/>
          <w:spacing w:val="1"/>
          <w:sz w:val="28"/>
        </w:rPr>
        <w:t xml:space="preserve"> </w:t>
      </w:r>
      <w:r w:rsidRPr="00853A56">
        <w:rPr>
          <w:rFonts w:ascii="Times New Roman" w:hAnsi="Times New Roman"/>
          <w:sz w:val="28"/>
        </w:rPr>
        <w:t>тому</w:t>
      </w:r>
      <w:r w:rsidRPr="00853A56">
        <w:rPr>
          <w:rFonts w:ascii="Times New Roman" w:hAnsi="Times New Roman"/>
          <w:spacing w:val="1"/>
          <w:sz w:val="28"/>
        </w:rPr>
        <w:t xml:space="preserve"> </w:t>
      </w:r>
      <w:r w:rsidRPr="00853A56">
        <w:rPr>
          <w:rFonts w:ascii="Times New Roman" w:hAnsi="Times New Roman"/>
          <w:sz w:val="28"/>
        </w:rPr>
        <w:t>числі</w:t>
      </w:r>
      <w:r w:rsidRPr="00853A56">
        <w:rPr>
          <w:rFonts w:ascii="Times New Roman" w:hAnsi="Times New Roman"/>
          <w:spacing w:val="1"/>
          <w:sz w:val="28"/>
        </w:rPr>
        <w:t xml:space="preserve"> </w:t>
      </w:r>
      <w:r w:rsidRPr="00853A56">
        <w:rPr>
          <w:rFonts w:ascii="Times New Roman" w:hAnsi="Times New Roman"/>
          <w:sz w:val="28"/>
        </w:rPr>
        <w:t>на</w:t>
      </w:r>
      <w:r w:rsidRPr="00853A56">
        <w:rPr>
          <w:rFonts w:ascii="Times New Roman" w:hAnsi="Times New Roman"/>
          <w:spacing w:val="1"/>
          <w:sz w:val="28"/>
        </w:rPr>
        <w:t xml:space="preserve"> </w:t>
      </w:r>
      <w:r w:rsidRPr="00853A56">
        <w:rPr>
          <w:rFonts w:ascii="Times New Roman" w:hAnsi="Times New Roman"/>
          <w:sz w:val="28"/>
        </w:rPr>
        <w:t>умовах</w:t>
      </w:r>
      <w:r w:rsidRPr="00853A56">
        <w:rPr>
          <w:rFonts w:ascii="Times New Roman" w:hAnsi="Times New Roman"/>
          <w:spacing w:val="1"/>
          <w:sz w:val="28"/>
        </w:rPr>
        <w:t xml:space="preserve"> </w:t>
      </w:r>
      <w:r w:rsidRPr="00853A56">
        <w:rPr>
          <w:rFonts w:ascii="Times New Roman" w:hAnsi="Times New Roman"/>
          <w:sz w:val="28"/>
        </w:rPr>
        <w:t>емфітевзису)</w:t>
      </w:r>
      <w:r w:rsidRPr="00853A56">
        <w:rPr>
          <w:rFonts w:ascii="Times New Roman" w:hAnsi="Times New Roman"/>
          <w:spacing w:val="-1"/>
          <w:sz w:val="28"/>
        </w:rPr>
        <w:t xml:space="preserve"> </w:t>
      </w:r>
      <w:r w:rsidRPr="00853A56">
        <w:rPr>
          <w:rFonts w:ascii="Times New Roman" w:hAnsi="Times New Roman"/>
          <w:sz w:val="28"/>
        </w:rPr>
        <w:t>платника</w:t>
      </w:r>
      <w:r w:rsidRPr="00853A56">
        <w:rPr>
          <w:rFonts w:ascii="Times New Roman" w:hAnsi="Times New Roman"/>
          <w:spacing w:val="1"/>
          <w:sz w:val="28"/>
        </w:rPr>
        <w:t xml:space="preserve"> </w:t>
      </w:r>
      <w:r w:rsidRPr="00853A56">
        <w:rPr>
          <w:rFonts w:ascii="Times New Roman" w:hAnsi="Times New Roman"/>
          <w:sz w:val="28"/>
        </w:rPr>
        <w:t>податків;</w:t>
      </w:r>
    </w:p>
    <w:p w:rsidR="007F76C3" w:rsidRPr="00853A56" w:rsidRDefault="007F76C3" w:rsidP="00355706">
      <w:pPr>
        <w:pStyle w:val="a7"/>
        <w:widowControl w:val="0"/>
        <w:numPr>
          <w:ilvl w:val="0"/>
          <w:numId w:val="3"/>
        </w:numPr>
        <w:tabs>
          <w:tab w:val="left" w:pos="326"/>
        </w:tabs>
        <w:autoSpaceDE w:val="0"/>
        <w:autoSpaceDN w:val="0"/>
        <w:spacing w:after="0" w:line="322" w:lineRule="exact"/>
        <w:ind w:left="325" w:hanging="213"/>
        <w:contextualSpacing w:val="0"/>
        <w:jc w:val="both"/>
        <w:rPr>
          <w:rFonts w:ascii="Times New Roman" w:hAnsi="Times New Roman"/>
          <w:sz w:val="28"/>
        </w:rPr>
      </w:pPr>
      <w:r w:rsidRPr="00853A56">
        <w:rPr>
          <w:rFonts w:ascii="Times New Roman" w:hAnsi="Times New Roman"/>
          <w:sz w:val="28"/>
        </w:rPr>
        <w:t>К</w:t>
      </w:r>
      <w:r w:rsidRPr="00853A56">
        <w:rPr>
          <w:rFonts w:ascii="Times New Roman" w:hAnsi="Times New Roman"/>
          <w:spacing w:val="-2"/>
          <w:sz w:val="28"/>
        </w:rPr>
        <w:t xml:space="preserve"> </w:t>
      </w:r>
      <w:r w:rsidRPr="00853A56">
        <w:rPr>
          <w:rFonts w:ascii="Times New Roman" w:hAnsi="Times New Roman"/>
          <w:sz w:val="28"/>
        </w:rPr>
        <w:t>–</w:t>
      </w:r>
      <w:r w:rsidRPr="00853A56">
        <w:rPr>
          <w:rFonts w:ascii="Times New Roman" w:hAnsi="Times New Roman"/>
          <w:spacing w:val="-1"/>
          <w:sz w:val="28"/>
        </w:rPr>
        <w:t xml:space="preserve"> </w:t>
      </w:r>
      <w:r w:rsidRPr="00853A56">
        <w:rPr>
          <w:rFonts w:ascii="Times New Roman" w:hAnsi="Times New Roman"/>
          <w:sz w:val="28"/>
        </w:rPr>
        <w:t>коефіцієнт,</w:t>
      </w:r>
      <w:r w:rsidRPr="00853A56">
        <w:rPr>
          <w:rFonts w:ascii="Times New Roman" w:hAnsi="Times New Roman"/>
          <w:spacing w:val="-1"/>
          <w:sz w:val="28"/>
        </w:rPr>
        <w:t xml:space="preserve"> </w:t>
      </w:r>
      <w:r w:rsidRPr="00853A56">
        <w:rPr>
          <w:rFonts w:ascii="Times New Roman" w:hAnsi="Times New Roman"/>
          <w:sz w:val="28"/>
        </w:rPr>
        <w:t>що</w:t>
      </w:r>
      <w:r w:rsidRPr="00853A56">
        <w:rPr>
          <w:rFonts w:ascii="Times New Roman" w:hAnsi="Times New Roman"/>
          <w:spacing w:val="-2"/>
          <w:sz w:val="28"/>
        </w:rPr>
        <w:t xml:space="preserve"> </w:t>
      </w:r>
      <w:r w:rsidRPr="00853A56">
        <w:rPr>
          <w:rFonts w:ascii="Times New Roman" w:hAnsi="Times New Roman"/>
          <w:sz w:val="28"/>
        </w:rPr>
        <w:t>становить</w:t>
      </w:r>
      <w:r w:rsidRPr="00853A56">
        <w:rPr>
          <w:rFonts w:ascii="Times New Roman" w:hAnsi="Times New Roman"/>
          <w:spacing w:val="-2"/>
          <w:sz w:val="28"/>
        </w:rPr>
        <w:t xml:space="preserve"> </w:t>
      </w:r>
      <w:r w:rsidRPr="00853A56">
        <w:rPr>
          <w:rFonts w:ascii="Times New Roman" w:hAnsi="Times New Roman"/>
          <w:sz w:val="28"/>
        </w:rPr>
        <w:t>0,05.</w:t>
      </w:r>
    </w:p>
    <w:p w:rsidR="007F76C3" w:rsidRPr="00853A56" w:rsidRDefault="007F76C3" w:rsidP="00355706">
      <w:pPr>
        <w:pStyle w:val="ab"/>
        <w:ind w:right="164"/>
      </w:pPr>
      <w:r w:rsidRPr="00853A56">
        <w:t>Слід</w:t>
      </w:r>
      <w:r w:rsidRPr="00853A56">
        <w:rPr>
          <w:spacing w:val="1"/>
        </w:rPr>
        <w:t xml:space="preserve"> </w:t>
      </w:r>
      <w:r w:rsidRPr="00853A56">
        <w:t>зазначити,</w:t>
      </w:r>
      <w:r w:rsidRPr="00853A56">
        <w:rPr>
          <w:spacing w:val="1"/>
        </w:rPr>
        <w:t xml:space="preserve"> </w:t>
      </w:r>
      <w:r w:rsidRPr="00853A56">
        <w:t>що</w:t>
      </w:r>
      <w:r w:rsidRPr="00853A56">
        <w:rPr>
          <w:spacing w:val="1"/>
        </w:rPr>
        <w:t xml:space="preserve"> </w:t>
      </w:r>
      <w:r w:rsidRPr="00853A56">
        <w:t>тимчасово,</w:t>
      </w:r>
      <w:r w:rsidRPr="00853A56">
        <w:rPr>
          <w:spacing w:val="1"/>
        </w:rPr>
        <w:t xml:space="preserve"> </w:t>
      </w:r>
      <w:r w:rsidRPr="00853A56">
        <w:t>для</w:t>
      </w:r>
      <w:r w:rsidRPr="00853A56">
        <w:rPr>
          <w:spacing w:val="1"/>
        </w:rPr>
        <w:t xml:space="preserve"> </w:t>
      </w:r>
      <w:r w:rsidRPr="00853A56">
        <w:t>розрахунку</w:t>
      </w:r>
      <w:r w:rsidRPr="00853A56">
        <w:rPr>
          <w:spacing w:val="1"/>
        </w:rPr>
        <w:t xml:space="preserve"> </w:t>
      </w:r>
      <w:r w:rsidRPr="00853A56">
        <w:t>мінімального</w:t>
      </w:r>
      <w:r w:rsidRPr="00853A56">
        <w:rPr>
          <w:spacing w:val="1"/>
        </w:rPr>
        <w:t xml:space="preserve"> </w:t>
      </w:r>
      <w:r w:rsidRPr="00853A56">
        <w:t>податкового</w:t>
      </w:r>
      <w:r w:rsidRPr="00853A56">
        <w:rPr>
          <w:spacing w:val="1"/>
        </w:rPr>
        <w:t xml:space="preserve"> </w:t>
      </w:r>
      <w:r w:rsidRPr="00853A56">
        <w:t>зобов'язання за 2022 та 2023 податкові (звітні) роки коефіцієнт «К» застосовується</w:t>
      </w:r>
      <w:r w:rsidRPr="00853A56">
        <w:rPr>
          <w:spacing w:val="1"/>
        </w:rPr>
        <w:t xml:space="preserve"> </w:t>
      </w:r>
      <w:r w:rsidRPr="00853A56">
        <w:t>із</w:t>
      </w:r>
      <w:r w:rsidRPr="00853A56">
        <w:rPr>
          <w:spacing w:val="-1"/>
        </w:rPr>
        <w:t xml:space="preserve"> </w:t>
      </w:r>
      <w:r w:rsidRPr="00853A56">
        <w:t>значенням</w:t>
      </w:r>
      <w:r w:rsidRPr="00853A56">
        <w:rPr>
          <w:spacing w:val="-3"/>
        </w:rPr>
        <w:t xml:space="preserve"> </w:t>
      </w:r>
      <w:r w:rsidRPr="00853A56">
        <w:t>0,04.</w:t>
      </w:r>
    </w:p>
    <w:p w:rsidR="007F76C3" w:rsidRPr="00853A56" w:rsidRDefault="007F76C3" w:rsidP="00355706">
      <w:pPr>
        <w:pStyle w:val="ab"/>
        <w:ind w:right="162"/>
      </w:pPr>
      <w:r w:rsidRPr="00853A56">
        <w:t>Коефіцієнт індексації нормативної грошової оцінки земель і земельних ділянок за</w:t>
      </w:r>
      <w:r w:rsidRPr="00853A56">
        <w:rPr>
          <w:spacing w:val="1"/>
        </w:rPr>
        <w:t xml:space="preserve"> </w:t>
      </w:r>
      <w:r w:rsidRPr="00853A56">
        <w:t>2022 рік становить для сільськогосподарських угідь (рілля, багаторічні насадження,</w:t>
      </w:r>
      <w:r w:rsidRPr="00853A56">
        <w:rPr>
          <w:spacing w:val="-67"/>
        </w:rPr>
        <w:t xml:space="preserve"> </w:t>
      </w:r>
      <w:r w:rsidRPr="00853A56">
        <w:t>сіножаті, пасовища та перелоги) – 1,0. Коефіцієнт індексації нормативної грошової</w:t>
      </w:r>
      <w:r w:rsidRPr="00853A56">
        <w:rPr>
          <w:spacing w:val="1"/>
        </w:rPr>
        <w:t xml:space="preserve"> </w:t>
      </w:r>
      <w:r w:rsidRPr="00853A56">
        <w:t>оцінки земель у розрізі років, зокрема,</w:t>
      </w:r>
      <w:r w:rsidRPr="00853A56">
        <w:rPr>
          <w:spacing w:val="1"/>
        </w:rPr>
        <w:t xml:space="preserve"> </w:t>
      </w:r>
      <w:r w:rsidRPr="00853A56">
        <w:t>становить: 2017 рік</w:t>
      </w:r>
      <w:r w:rsidRPr="00853A56">
        <w:rPr>
          <w:spacing w:val="70"/>
        </w:rPr>
        <w:t xml:space="preserve"> </w:t>
      </w:r>
      <w:r w:rsidRPr="00853A56">
        <w:t>– 1,0; 2018 рік – 1,0;</w:t>
      </w:r>
      <w:r w:rsidRPr="00853A56">
        <w:rPr>
          <w:spacing w:val="1"/>
        </w:rPr>
        <w:t xml:space="preserve"> </w:t>
      </w:r>
      <w:r w:rsidRPr="00853A56">
        <w:t>2019</w:t>
      </w:r>
      <w:r w:rsidRPr="00853A56">
        <w:rPr>
          <w:spacing w:val="58"/>
        </w:rPr>
        <w:t xml:space="preserve"> </w:t>
      </w:r>
      <w:r w:rsidRPr="00853A56">
        <w:t>рік</w:t>
      </w:r>
      <w:r w:rsidRPr="00853A56">
        <w:rPr>
          <w:spacing w:val="60"/>
        </w:rPr>
        <w:t xml:space="preserve"> </w:t>
      </w:r>
      <w:r w:rsidRPr="00853A56">
        <w:t>–</w:t>
      </w:r>
      <w:r w:rsidRPr="00853A56">
        <w:rPr>
          <w:spacing w:val="58"/>
        </w:rPr>
        <w:t xml:space="preserve"> </w:t>
      </w:r>
      <w:r w:rsidRPr="00853A56">
        <w:t>1,0;</w:t>
      </w:r>
      <w:r w:rsidRPr="00853A56">
        <w:rPr>
          <w:spacing w:val="58"/>
        </w:rPr>
        <w:t xml:space="preserve"> </w:t>
      </w:r>
      <w:r w:rsidRPr="00853A56">
        <w:t>2020</w:t>
      </w:r>
      <w:r w:rsidRPr="00853A56">
        <w:rPr>
          <w:spacing w:val="59"/>
        </w:rPr>
        <w:t xml:space="preserve"> </w:t>
      </w:r>
      <w:r w:rsidRPr="00853A56">
        <w:t>рік</w:t>
      </w:r>
      <w:r w:rsidRPr="00853A56">
        <w:rPr>
          <w:spacing w:val="60"/>
        </w:rPr>
        <w:t xml:space="preserve"> </w:t>
      </w:r>
      <w:r w:rsidRPr="00853A56">
        <w:t>–</w:t>
      </w:r>
      <w:r w:rsidRPr="00853A56">
        <w:rPr>
          <w:spacing w:val="58"/>
        </w:rPr>
        <w:t xml:space="preserve"> </w:t>
      </w:r>
      <w:r w:rsidRPr="00853A56">
        <w:t>1,0;</w:t>
      </w:r>
      <w:r w:rsidRPr="00853A56">
        <w:rPr>
          <w:spacing w:val="60"/>
        </w:rPr>
        <w:t xml:space="preserve"> </w:t>
      </w:r>
      <w:r w:rsidRPr="00853A56">
        <w:t>2021</w:t>
      </w:r>
      <w:r w:rsidRPr="00853A56">
        <w:rPr>
          <w:spacing w:val="59"/>
        </w:rPr>
        <w:t xml:space="preserve"> </w:t>
      </w:r>
      <w:r w:rsidRPr="00853A56">
        <w:t>рік</w:t>
      </w:r>
      <w:r w:rsidRPr="00853A56">
        <w:rPr>
          <w:spacing w:val="58"/>
        </w:rPr>
        <w:t xml:space="preserve"> </w:t>
      </w:r>
      <w:r w:rsidRPr="00853A56">
        <w:t>–</w:t>
      </w:r>
      <w:r w:rsidRPr="00853A56">
        <w:rPr>
          <w:spacing w:val="58"/>
        </w:rPr>
        <w:t xml:space="preserve"> </w:t>
      </w:r>
      <w:r w:rsidRPr="00853A56">
        <w:t>1,0</w:t>
      </w:r>
      <w:r w:rsidRPr="00853A56">
        <w:rPr>
          <w:spacing w:val="57"/>
        </w:rPr>
        <w:t xml:space="preserve"> </w:t>
      </w:r>
      <w:r w:rsidRPr="00853A56">
        <w:t>(для</w:t>
      </w:r>
      <w:r w:rsidRPr="00853A56">
        <w:rPr>
          <w:spacing w:val="60"/>
        </w:rPr>
        <w:t xml:space="preserve"> </w:t>
      </w:r>
      <w:r w:rsidRPr="00853A56">
        <w:t>сільськогосподарських</w:t>
      </w:r>
      <w:r w:rsidRPr="00853A56">
        <w:rPr>
          <w:spacing w:val="60"/>
        </w:rPr>
        <w:t xml:space="preserve"> </w:t>
      </w:r>
      <w:r w:rsidRPr="00853A56">
        <w:t>угідь</w:t>
      </w:r>
      <w:r w:rsidRPr="00853A56">
        <w:rPr>
          <w:spacing w:val="-68"/>
        </w:rPr>
        <w:t xml:space="preserve"> </w:t>
      </w:r>
      <w:r w:rsidRPr="00853A56">
        <w:t>(рілля,</w:t>
      </w:r>
      <w:r w:rsidRPr="00853A56">
        <w:rPr>
          <w:spacing w:val="-4"/>
        </w:rPr>
        <w:t xml:space="preserve"> </w:t>
      </w:r>
      <w:r w:rsidRPr="00853A56">
        <w:t>багаторічні</w:t>
      </w:r>
      <w:r w:rsidRPr="00853A56">
        <w:rPr>
          <w:spacing w:val="1"/>
        </w:rPr>
        <w:t xml:space="preserve"> </w:t>
      </w:r>
      <w:r w:rsidRPr="00853A56">
        <w:t>насадження, сіножаті,</w:t>
      </w:r>
      <w:r w:rsidRPr="00853A56">
        <w:rPr>
          <w:spacing w:val="-1"/>
        </w:rPr>
        <w:t xml:space="preserve"> </w:t>
      </w:r>
      <w:r w:rsidRPr="00853A56">
        <w:t>пасовища</w:t>
      </w:r>
      <w:r w:rsidRPr="00853A56">
        <w:rPr>
          <w:spacing w:val="-1"/>
        </w:rPr>
        <w:t xml:space="preserve"> </w:t>
      </w:r>
      <w:r w:rsidRPr="00853A56">
        <w:t>та</w:t>
      </w:r>
      <w:r w:rsidRPr="00853A56">
        <w:rPr>
          <w:spacing w:val="-3"/>
        </w:rPr>
        <w:t xml:space="preserve"> </w:t>
      </w:r>
      <w:r w:rsidRPr="00853A56">
        <w:t>перелоги)).</w:t>
      </w:r>
    </w:p>
    <w:p w:rsidR="007F76C3" w:rsidRPr="00853A56" w:rsidRDefault="007F76C3" w:rsidP="00355706">
      <w:pPr>
        <w:pStyle w:val="ab"/>
        <w:ind w:right="162"/>
      </w:pPr>
      <w:r w:rsidRPr="00853A56">
        <w:t>Для отримання інформації щодо нормативної грошової оцінки 1 гектара ріллі по</w:t>
      </w:r>
      <w:r w:rsidRPr="00853A56">
        <w:rPr>
          <w:spacing w:val="1"/>
        </w:rPr>
        <w:t xml:space="preserve"> </w:t>
      </w:r>
      <w:r w:rsidRPr="00853A56">
        <w:t>Автономній</w:t>
      </w:r>
      <w:r w:rsidRPr="00853A56">
        <w:rPr>
          <w:spacing w:val="1"/>
        </w:rPr>
        <w:t xml:space="preserve"> </w:t>
      </w:r>
      <w:r w:rsidRPr="00853A56">
        <w:t>Республіці</w:t>
      </w:r>
      <w:r w:rsidRPr="00853A56">
        <w:rPr>
          <w:spacing w:val="1"/>
        </w:rPr>
        <w:t xml:space="preserve"> </w:t>
      </w:r>
      <w:r w:rsidRPr="00853A56">
        <w:t>Крим</w:t>
      </w:r>
      <w:r w:rsidRPr="00853A56">
        <w:rPr>
          <w:spacing w:val="1"/>
        </w:rPr>
        <w:t xml:space="preserve"> </w:t>
      </w:r>
      <w:r w:rsidRPr="00853A56">
        <w:t>або</w:t>
      </w:r>
      <w:r w:rsidRPr="00853A56">
        <w:rPr>
          <w:spacing w:val="1"/>
        </w:rPr>
        <w:t xml:space="preserve"> </w:t>
      </w:r>
      <w:r w:rsidRPr="00853A56">
        <w:t>по</w:t>
      </w:r>
      <w:r w:rsidRPr="00853A56">
        <w:rPr>
          <w:spacing w:val="1"/>
        </w:rPr>
        <w:t xml:space="preserve"> </w:t>
      </w:r>
      <w:r w:rsidRPr="00853A56">
        <w:t>області</w:t>
      </w:r>
      <w:r w:rsidRPr="00853A56">
        <w:rPr>
          <w:spacing w:val="1"/>
        </w:rPr>
        <w:t xml:space="preserve"> </w:t>
      </w:r>
      <w:r w:rsidRPr="00853A56">
        <w:t>необхідно</w:t>
      </w:r>
      <w:r w:rsidRPr="00853A56">
        <w:rPr>
          <w:spacing w:val="1"/>
        </w:rPr>
        <w:t xml:space="preserve"> </w:t>
      </w:r>
      <w:r w:rsidRPr="00853A56">
        <w:t>звертатися</w:t>
      </w:r>
      <w:r w:rsidRPr="00853A56">
        <w:rPr>
          <w:spacing w:val="1"/>
        </w:rPr>
        <w:t xml:space="preserve"> </w:t>
      </w:r>
      <w:r w:rsidRPr="00853A56">
        <w:t>до</w:t>
      </w:r>
      <w:r w:rsidRPr="00853A56">
        <w:rPr>
          <w:spacing w:val="1"/>
        </w:rPr>
        <w:t xml:space="preserve"> </w:t>
      </w:r>
      <w:r w:rsidRPr="00853A56">
        <w:t>територіальних органів Державної служби України з питань геодезії, картографії та</w:t>
      </w:r>
      <w:r w:rsidRPr="00853A56">
        <w:rPr>
          <w:spacing w:val="-67"/>
        </w:rPr>
        <w:t xml:space="preserve"> </w:t>
      </w:r>
      <w:r w:rsidRPr="00853A56">
        <w:t>кадастру.</w:t>
      </w:r>
    </w:p>
    <w:p w:rsidR="007F76C3" w:rsidRPr="00853A56" w:rsidRDefault="007F76C3" w:rsidP="00157C2E">
      <w:pPr>
        <w:spacing w:after="0" w:line="240" w:lineRule="auto"/>
        <w:jc w:val="both"/>
        <w:rPr>
          <w:rFonts w:ascii="Times New Roman" w:hAnsi="Times New Roman"/>
          <w:sz w:val="26"/>
          <w:szCs w:val="26"/>
          <w:lang w:eastAsia="uk-UA"/>
        </w:rPr>
      </w:pPr>
    </w:p>
    <w:sectPr w:rsidR="007F76C3" w:rsidRPr="00853A56"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D1B4349"/>
    <w:multiLevelType w:val="hybridMultilevel"/>
    <w:tmpl w:val="FFFFFFFF"/>
    <w:lvl w:ilvl="0" w:tplc="115C4332">
      <w:numFmt w:val="bullet"/>
      <w:lvlText w:val="–"/>
      <w:lvlJc w:val="left"/>
      <w:pPr>
        <w:ind w:left="113" w:hanging="212"/>
      </w:pPr>
      <w:rPr>
        <w:rFonts w:ascii="Times New Roman" w:eastAsia="Times New Roman" w:hAnsi="Times New Roman" w:hint="default"/>
        <w:w w:val="100"/>
        <w:sz w:val="28"/>
      </w:rPr>
    </w:lvl>
    <w:lvl w:ilvl="1" w:tplc="21B47120">
      <w:numFmt w:val="bullet"/>
      <w:lvlText w:val="•"/>
      <w:lvlJc w:val="left"/>
      <w:pPr>
        <w:ind w:left="1142" w:hanging="212"/>
      </w:pPr>
      <w:rPr>
        <w:rFonts w:hint="default"/>
      </w:rPr>
    </w:lvl>
    <w:lvl w:ilvl="2" w:tplc="490E1216">
      <w:numFmt w:val="bullet"/>
      <w:lvlText w:val="•"/>
      <w:lvlJc w:val="left"/>
      <w:pPr>
        <w:ind w:left="2165" w:hanging="212"/>
      </w:pPr>
      <w:rPr>
        <w:rFonts w:hint="default"/>
      </w:rPr>
    </w:lvl>
    <w:lvl w:ilvl="3" w:tplc="2DCC67B0">
      <w:numFmt w:val="bullet"/>
      <w:lvlText w:val="•"/>
      <w:lvlJc w:val="left"/>
      <w:pPr>
        <w:ind w:left="3187" w:hanging="212"/>
      </w:pPr>
      <w:rPr>
        <w:rFonts w:hint="default"/>
      </w:rPr>
    </w:lvl>
    <w:lvl w:ilvl="4" w:tplc="67581C74">
      <w:numFmt w:val="bullet"/>
      <w:lvlText w:val="•"/>
      <w:lvlJc w:val="left"/>
      <w:pPr>
        <w:ind w:left="4210" w:hanging="212"/>
      </w:pPr>
      <w:rPr>
        <w:rFonts w:hint="default"/>
      </w:rPr>
    </w:lvl>
    <w:lvl w:ilvl="5" w:tplc="119A9356">
      <w:numFmt w:val="bullet"/>
      <w:lvlText w:val="•"/>
      <w:lvlJc w:val="left"/>
      <w:pPr>
        <w:ind w:left="5233" w:hanging="212"/>
      </w:pPr>
      <w:rPr>
        <w:rFonts w:hint="default"/>
      </w:rPr>
    </w:lvl>
    <w:lvl w:ilvl="6" w:tplc="C6FA135A">
      <w:numFmt w:val="bullet"/>
      <w:lvlText w:val="•"/>
      <w:lvlJc w:val="left"/>
      <w:pPr>
        <w:ind w:left="6255" w:hanging="212"/>
      </w:pPr>
      <w:rPr>
        <w:rFonts w:hint="default"/>
      </w:rPr>
    </w:lvl>
    <w:lvl w:ilvl="7" w:tplc="CDF6F3C4">
      <w:numFmt w:val="bullet"/>
      <w:lvlText w:val="•"/>
      <w:lvlJc w:val="left"/>
      <w:pPr>
        <w:ind w:left="7278" w:hanging="212"/>
      </w:pPr>
      <w:rPr>
        <w:rFonts w:hint="default"/>
      </w:rPr>
    </w:lvl>
    <w:lvl w:ilvl="8" w:tplc="2E4445C6">
      <w:numFmt w:val="bullet"/>
      <w:lvlText w:val="•"/>
      <w:lvlJc w:val="left"/>
      <w:pPr>
        <w:ind w:left="8301" w:hanging="212"/>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73643"/>
    <w:rsid w:val="00012C39"/>
    <w:rsid w:val="000758F5"/>
    <w:rsid w:val="000E2499"/>
    <w:rsid w:val="0010756D"/>
    <w:rsid w:val="00157C2E"/>
    <w:rsid w:val="0019224D"/>
    <w:rsid w:val="00194AD2"/>
    <w:rsid w:val="001D5F41"/>
    <w:rsid w:val="001D669A"/>
    <w:rsid w:val="001D7FBB"/>
    <w:rsid w:val="00203F79"/>
    <w:rsid w:val="00236CEF"/>
    <w:rsid w:val="00264EA2"/>
    <w:rsid w:val="00265979"/>
    <w:rsid w:val="00352001"/>
    <w:rsid w:val="00355706"/>
    <w:rsid w:val="00373142"/>
    <w:rsid w:val="003C57DA"/>
    <w:rsid w:val="003F6073"/>
    <w:rsid w:val="0044142E"/>
    <w:rsid w:val="004907EF"/>
    <w:rsid w:val="004D301E"/>
    <w:rsid w:val="004F6D40"/>
    <w:rsid w:val="00506F76"/>
    <w:rsid w:val="00542B28"/>
    <w:rsid w:val="005E718B"/>
    <w:rsid w:val="00625028"/>
    <w:rsid w:val="00625FAF"/>
    <w:rsid w:val="00626D57"/>
    <w:rsid w:val="0067667D"/>
    <w:rsid w:val="006D5E11"/>
    <w:rsid w:val="006E3A05"/>
    <w:rsid w:val="0074073F"/>
    <w:rsid w:val="00744E9F"/>
    <w:rsid w:val="00773643"/>
    <w:rsid w:val="007B7B78"/>
    <w:rsid w:val="007F76C3"/>
    <w:rsid w:val="00830890"/>
    <w:rsid w:val="00853A56"/>
    <w:rsid w:val="008C6AF8"/>
    <w:rsid w:val="008F391D"/>
    <w:rsid w:val="00976910"/>
    <w:rsid w:val="009C01CB"/>
    <w:rsid w:val="009E17AA"/>
    <w:rsid w:val="009F35C3"/>
    <w:rsid w:val="00A7057C"/>
    <w:rsid w:val="00AB6E31"/>
    <w:rsid w:val="00AE65BD"/>
    <w:rsid w:val="00B162AA"/>
    <w:rsid w:val="00B5427F"/>
    <w:rsid w:val="00B665DF"/>
    <w:rsid w:val="00BC4D21"/>
    <w:rsid w:val="00BF52FE"/>
    <w:rsid w:val="00C67E62"/>
    <w:rsid w:val="00C72E0B"/>
    <w:rsid w:val="00CC4EDC"/>
    <w:rsid w:val="00D124BC"/>
    <w:rsid w:val="00D40272"/>
    <w:rsid w:val="00D4533B"/>
    <w:rsid w:val="00DC168C"/>
    <w:rsid w:val="00E11100"/>
    <w:rsid w:val="00E1192A"/>
    <w:rsid w:val="00E11E95"/>
    <w:rsid w:val="00E720E5"/>
    <w:rsid w:val="00E75D2F"/>
    <w:rsid w:val="00EC10AC"/>
    <w:rsid w:val="00F02E07"/>
    <w:rsid w:val="00F33D5B"/>
    <w:rsid w:val="00F44C77"/>
    <w:rsid w:val="00F46F24"/>
    <w:rsid w:val="00F97E1D"/>
    <w:rsid w:val="00FE7E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99"/>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Title"/>
    <w:basedOn w:val="a"/>
    <w:link w:val="aa"/>
    <w:uiPriority w:val="99"/>
    <w:qFormat/>
    <w:locked/>
    <w:rsid w:val="00355706"/>
    <w:pPr>
      <w:widowControl w:val="0"/>
      <w:autoSpaceDE w:val="0"/>
      <w:autoSpaceDN w:val="0"/>
      <w:spacing w:before="262" w:after="0" w:line="240" w:lineRule="auto"/>
      <w:ind w:left="337" w:right="110"/>
      <w:jc w:val="center"/>
    </w:pPr>
    <w:rPr>
      <w:rFonts w:ascii="Times New Roman" w:eastAsia="Times New Roman" w:hAnsi="Times New Roman"/>
      <w:b/>
      <w:bCs/>
      <w:sz w:val="32"/>
      <w:szCs w:val="32"/>
    </w:rPr>
  </w:style>
  <w:style w:type="character" w:customStyle="1" w:styleId="aa">
    <w:name w:val="Название Знак"/>
    <w:basedOn w:val="a0"/>
    <w:link w:val="a9"/>
    <w:uiPriority w:val="99"/>
    <w:locked/>
    <w:rsid w:val="00355706"/>
    <w:rPr>
      <w:rFonts w:eastAsia="Times New Roman" w:cs="Times New Roman"/>
      <w:b/>
      <w:bCs/>
      <w:sz w:val="32"/>
      <w:szCs w:val="32"/>
      <w:lang w:val="uk-UA" w:eastAsia="en-US" w:bidi="ar-SA"/>
    </w:rPr>
  </w:style>
  <w:style w:type="paragraph" w:styleId="ab">
    <w:name w:val="Body Text"/>
    <w:basedOn w:val="a"/>
    <w:link w:val="ac"/>
    <w:uiPriority w:val="99"/>
    <w:rsid w:val="00355706"/>
    <w:pPr>
      <w:widowControl w:val="0"/>
      <w:autoSpaceDE w:val="0"/>
      <w:autoSpaceDN w:val="0"/>
      <w:spacing w:after="0" w:line="240" w:lineRule="auto"/>
      <w:ind w:left="113"/>
      <w:jc w:val="both"/>
    </w:pPr>
    <w:rPr>
      <w:rFonts w:ascii="Times New Roman" w:eastAsia="Times New Roman" w:hAnsi="Times New Roman"/>
      <w:sz w:val="28"/>
      <w:szCs w:val="28"/>
    </w:rPr>
  </w:style>
  <w:style w:type="character" w:customStyle="1" w:styleId="ac">
    <w:name w:val="Основной текст Знак"/>
    <w:basedOn w:val="a0"/>
    <w:link w:val="ab"/>
    <w:uiPriority w:val="99"/>
    <w:semiHidden/>
    <w:locked/>
    <w:rsid w:val="00355706"/>
    <w:rPr>
      <w:rFonts w:eastAsia="Times New Roman" w:cs="Times New Roman"/>
      <w:sz w:val="28"/>
      <w:szCs w:val="28"/>
      <w:lang w:val="uk-UA" w:eastAsia="en-US" w:bidi="ar-SA"/>
    </w:rPr>
  </w:style>
</w:styles>
</file>

<file path=word/webSettings.xml><?xml version="1.0" encoding="utf-8"?>
<w:webSettings xmlns:r="http://schemas.openxmlformats.org/officeDocument/2006/relationships" xmlns:w="http://schemas.openxmlformats.org/wordprocessingml/2006/main">
  <w:divs>
    <w:div w:id="41639364">
      <w:marLeft w:val="0"/>
      <w:marRight w:val="0"/>
      <w:marTop w:val="0"/>
      <w:marBottom w:val="0"/>
      <w:divBdr>
        <w:top w:val="none" w:sz="0" w:space="0" w:color="auto"/>
        <w:left w:val="none" w:sz="0" w:space="0" w:color="auto"/>
        <w:bottom w:val="none" w:sz="0" w:space="0" w:color="auto"/>
        <w:right w:val="none" w:sz="0" w:space="0" w:color="auto"/>
      </w:divBdr>
    </w:div>
    <w:div w:id="41639365">
      <w:marLeft w:val="0"/>
      <w:marRight w:val="0"/>
      <w:marTop w:val="0"/>
      <w:marBottom w:val="0"/>
      <w:divBdr>
        <w:top w:val="none" w:sz="0" w:space="0" w:color="auto"/>
        <w:left w:val="none" w:sz="0" w:space="0" w:color="auto"/>
        <w:bottom w:val="none" w:sz="0" w:space="0" w:color="auto"/>
        <w:right w:val="none" w:sz="0" w:space="0" w:color="auto"/>
      </w:divBdr>
    </w:div>
    <w:div w:id="41639366">
      <w:marLeft w:val="0"/>
      <w:marRight w:val="0"/>
      <w:marTop w:val="0"/>
      <w:marBottom w:val="0"/>
      <w:divBdr>
        <w:top w:val="none" w:sz="0" w:space="0" w:color="auto"/>
        <w:left w:val="none" w:sz="0" w:space="0" w:color="auto"/>
        <w:bottom w:val="none" w:sz="0" w:space="0" w:color="auto"/>
        <w:right w:val="none" w:sz="0" w:space="0" w:color="auto"/>
      </w:divBdr>
    </w:div>
    <w:div w:id="41639367">
      <w:marLeft w:val="0"/>
      <w:marRight w:val="0"/>
      <w:marTop w:val="0"/>
      <w:marBottom w:val="0"/>
      <w:divBdr>
        <w:top w:val="none" w:sz="0" w:space="0" w:color="auto"/>
        <w:left w:val="none" w:sz="0" w:space="0" w:color="auto"/>
        <w:bottom w:val="none" w:sz="0" w:space="0" w:color="auto"/>
        <w:right w:val="none" w:sz="0" w:space="0" w:color="auto"/>
      </w:divBdr>
    </w:div>
    <w:div w:id="41639369">
      <w:marLeft w:val="0"/>
      <w:marRight w:val="0"/>
      <w:marTop w:val="0"/>
      <w:marBottom w:val="0"/>
      <w:divBdr>
        <w:top w:val="none" w:sz="0" w:space="0" w:color="auto"/>
        <w:left w:val="none" w:sz="0" w:space="0" w:color="auto"/>
        <w:bottom w:val="none" w:sz="0" w:space="0" w:color="auto"/>
        <w:right w:val="none" w:sz="0" w:space="0" w:color="auto"/>
      </w:divBdr>
    </w:div>
    <w:div w:id="41639370">
      <w:marLeft w:val="0"/>
      <w:marRight w:val="0"/>
      <w:marTop w:val="0"/>
      <w:marBottom w:val="0"/>
      <w:divBdr>
        <w:top w:val="none" w:sz="0" w:space="0" w:color="auto"/>
        <w:left w:val="none" w:sz="0" w:space="0" w:color="auto"/>
        <w:bottom w:val="none" w:sz="0" w:space="0" w:color="auto"/>
        <w:right w:val="none" w:sz="0" w:space="0" w:color="auto"/>
      </w:divBdr>
    </w:div>
    <w:div w:id="41639371">
      <w:marLeft w:val="0"/>
      <w:marRight w:val="0"/>
      <w:marTop w:val="0"/>
      <w:marBottom w:val="0"/>
      <w:divBdr>
        <w:top w:val="none" w:sz="0" w:space="0" w:color="auto"/>
        <w:left w:val="none" w:sz="0" w:space="0" w:color="auto"/>
        <w:bottom w:val="none" w:sz="0" w:space="0" w:color="auto"/>
        <w:right w:val="none" w:sz="0" w:space="0" w:color="auto"/>
      </w:divBdr>
    </w:div>
    <w:div w:id="41639372">
      <w:marLeft w:val="0"/>
      <w:marRight w:val="0"/>
      <w:marTop w:val="0"/>
      <w:marBottom w:val="0"/>
      <w:divBdr>
        <w:top w:val="none" w:sz="0" w:space="0" w:color="auto"/>
        <w:left w:val="none" w:sz="0" w:space="0" w:color="auto"/>
        <w:bottom w:val="none" w:sz="0" w:space="0" w:color="auto"/>
        <w:right w:val="none" w:sz="0" w:space="0" w:color="auto"/>
      </w:divBdr>
    </w:div>
    <w:div w:id="41639373">
      <w:marLeft w:val="0"/>
      <w:marRight w:val="0"/>
      <w:marTop w:val="0"/>
      <w:marBottom w:val="0"/>
      <w:divBdr>
        <w:top w:val="none" w:sz="0" w:space="0" w:color="auto"/>
        <w:left w:val="none" w:sz="0" w:space="0" w:color="auto"/>
        <w:bottom w:val="none" w:sz="0" w:space="0" w:color="auto"/>
        <w:right w:val="none" w:sz="0" w:space="0" w:color="auto"/>
      </w:divBdr>
      <w:divsChild>
        <w:div w:id="41639368">
          <w:marLeft w:val="0"/>
          <w:marRight w:val="0"/>
          <w:marTop w:val="0"/>
          <w:marBottom w:val="0"/>
          <w:divBdr>
            <w:top w:val="none" w:sz="0" w:space="0" w:color="auto"/>
            <w:left w:val="none" w:sz="0" w:space="0" w:color="auto"/>
            <w:bottom w:val="none" w:sz="0" w:space="0" w:color="auto"/>
            <w:right w:val="none" w:sz="0" w:space="0" w:color="auto"/>
          </w:divBdr>
        </w:div>
      </w:divsChild>
    </w:div>
    <w:div w:id="41639374">
      <w:marLeft w:val="0"/>
      <w:marRight w:val="0"/>
      <w:marTop w:val="0"/>
      <w:marBottom w:val="0"/>
      <w:divBdr>
        <w:top w:val="none" w:sz="0" w:space="0" w:color="auto"/>
        <w:left w:val="none" w:sz="0" w:space="0" w:color="auto"/>
        <w:bottom w:val="none" w:sz="0" w:space="0" w:color="auto"/>
        <w:right w:val="none" w:sz="0" w:space="0" w:color="auto"/>
      </w:divBdr>
    </w:div>
    <w:div w:id="41639375">
      <w:marLeft w:val="0"/>
      <w:marRight w:val="0"/>
      <w:marTop w:val="0"/>
      <w:marBottom w:val="0"/>
      <w:divBdr>
        <w:top w:val="none" w:sz="0" w:space="0" w:color="auto"/>
        <w:left w:val="none" w:sz="0" w:space="0" w:color="auto"/>
        <w:bottom w:val="none" w:sz="0" w:space="0" w:color="auto"/>
        <w:right w:val="none" w:sz="0" w:space="0" w:color="auto"/>
      </w:divBdr>
    </w:div>
    <w:div w:id="41639376">
      <w:marLeft w:val="0"/>
      <w:marRight w:val="0"/>
      <w:marTop w:val="0"/>
      <w:marBottom w:val="0"/>
      <w:divBdr>
        <w:top w:val="none" w:sz="0" w:space="0" w:color="auto"/>
        <w:left w:val="none" w:sz="0" w:space="0" w:color="auto"/>
        <w:bottom w:val="none" w:sz="0" w:space="0" w:color="auto"/>
        <w:right w:val="none" w:sz="0" w:space="0" w:color="auto"/>
      </w:divBdr>
    </w:div>
    <w:div w:id="41639377">
      <w:marLeft w:val="0"/>
      <w:marRight w:val="0"/>
      <w:marTop w:val="0"/>
      <w:marBottom w:val="0"/>
      <w:divBdr>
        <w:top w:val="none" w:sz="0" w:space="0" w:color="auto"/>
        <w:left w:val="none" w:sz="0" w:space="0" w:color="auto"/>
        <w:bottom w:val="none" w:sz="0" w:space="0" w:color="auto"/>
        <w:right w:val="none" w:sz="0" w:space="0" w:color="auto"/>
      </w:divBdr>
    </w:div>
    <w:div w:id="41639378">
      <w:marLeft w:val="0"/>
      <w:marRight w:val="0"/>
      <w:marTop w:val="0"/>
      <w:marBottom w:val="0"/>
      <w:divBdr>
        <w:top w:val="none" w:sz="0" w:space="0" w:color="auto"/>
        <w:left w:val="none" w:sz="0" w:space="0" w:color="auto"/>
        <w:bottom w:val="none" w:sz="0" w:space="0" w:color="auto"/>
        <w:right w:val="none" w:sz="0" w:space="0" w:color="auto"/>
      </w:divBdr>
    </w:div>
    <w:div w:id="4163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655</Characters>
  <Application>Microsoft Office Word</Application>
  <DocSecurity>0</DocSecurity>
  <Lines>5</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2023-03-16T07:13:00Z</dcterms:created>
  <dcterms:modified xsi:type="dcterms:W3CDTF">2023-03-16T07:13:00Z</dcterms:modified>
</cp:coreProperties>
</file>