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345F8C"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Default="00CD5423" w:rsidP="00E720E5">
                  <w:pPr>
                    <w:spacing w:after="0"/>
                    <w:rPr>
                      <w:rFonts w:ascii="Times New Roman" w:hAnsi="Times New Roman"/>
                      <w:b/>
                      <w:bCs/>
                      <w:sz w:val="28"/>
                      <w:szCs w:val="28"/>
                    </w:rPr>
                  </w:pPr>
                  <w:proofErr w:type="spellStart"/>
                  <w:r>
                    <w:rPr>
                      <w:rFonts w:ascii="Times New Roman" w:hAnsi="Times New Roman"/>
                      <w:b/>
                      <w:bCs/>
                      <w:sz w:val="28"/>
                      <w:szCs w:val="28"/>
                    </w:rPr>
                    <w:t>Турківська</w:t>
                  </w:r>
                  <w:proofErr w:type="spellEnd"/>
                  <w:r w:rsidRPr="00353D2D">
                    <w:rPr>
                      <w:rFonts w:ascii="Times New Roman" w:hAnsi="Times New Roman"/>
                      <w:b/>
                      <w:bCs/>
                      <w:sz w:val="28"/>
                      <w:szCs w:val="28"/>
                    </w:rPr>
                    <w:t xml:space="preserve"> ДПІ</w:t>
                  </w:r>
                </w:p>
                <w:p w:rsidR="00CD5423" w:rsidRPr="00353D2D" w:rsidRDefault="00CD5423"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345F8C" w:rsidP="004D301E">
      <w:pPr>
        <w:pStyle w:val="a3"/>
        <w:spacing w:before="0" w:beforeAutospacing="0" w:after="0" w:afterAutospacing="0"/>
        <w:jc w:val="both"/>
        <w:rPr>
          <w:color w:val="000000"/>
          <w:sz w:val="32"/>
          <w:szCs w:val="32"/>
        </w:rPr>
      </w:pPr>
      <w:r w:rsidRPr="00345F8C">
        <w:rPr>
          <w:rFonts w:ascii="Calibri" w:hAnsi="Calibri"/>
          <w:noProof/>
          <w:sz w:val="22"/>
          <w:szCs w:val="22"/>
          <w:lang w:eastAsia="en-US"/>
        </w:rPr>
        <w:pict>
          <v:rect id="Заголовок 1" o:spid="_x0000_s1029" style="position:absolute;left:0;text-align:left;margin-left:0;margin-top:14.6pt;width:517.5pt;height:62.5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553759" w:rsidRPr="00247CF7" w:rsidRDefault="00553759" w:rsidP="00553759">
                  <w:pPr>
                    <w:pStyle w:val="1"/>
                    <w:shd w:val="clear" w:color="auto" w:fill="FFFFFF"/>
                    <w:spacing w:before="0" w:after="0" w:line="240" w:lineRule="atLeast"/>
                    <w:jc w:val="center"/>
                    <w:textAlignment w:val="baseline"/>
                    <w:rPr>
                      <w:bCs w:val="0"/>
                      <w:color w:val="1D1D1B"/>
                      <w:sz w:val="28"/>
                      <w:szCs w:val="28"/>
                    </w:rPr>
                  </w:pPr>
                  <w:r w:rsidRPr="00247CF7">
                    <w:rPr>
                      <w:bCs w:val="0"/>
                      <w:color w:val="1D1D1B"/>
                      <w:sz w:val="28"/>
                      <w:szCs w:val="28"/>
                    </w:rPr>
                    <w:t>Куди необхідно звертатись фізичним особам - власникам декількох об’єктів житлової та/або нежитлової нерухомості, розміщених в різних населених пунктах, для проведення звірки даних</w:t>
                  </w:r>
                </w:p>
                <w:p w:rsidR="00D860CE" w:rsidRPr="00C609D6" w:rsidRDefault="00D860CE" w:rsidP="00D860CE">
                  <w:pPr>
                    <w:rPr>
                      <w:szCs w:val="30"/>
                    </w:rPr>
                  </w:pPr>
                </w:p>
                <w:p w:rsidR="00CD5423" w:rsidRPr="00CC490C" w:rsidRDefault="00CD5423" w:rsidP="008F2E7A">
                  <w:pPr>
                    <w:pStyle w:val="1"/>
                    <w:shd w:val="clear" w:color="auto" w:fill="FFFFFF"/>
                    <w:spacing w:before="0" w:after="0" w:line="240" w:lineRule="atLeast"/>
                    <w:jc w:val="center"/>
                    <w:textAlignment w:val="baseline"/>
                    <w:rPr>
                      <w:sz w:val="28"/>
                      <w:szCs w:val="28"/>
                    </w:rPr>
                  </w:pPr>
                </w:p>
                <w:p w:rsidR="00CD5423" w:rsidRPr="00F956E1" w:rsidRDefault="00CD5423" w:rsidP="00AB3F6E">
                  <w:pPr>
                    <w:pStyle w:val="1"/>
                    <w:shd w:val="clear" w:color="auto" w:fill="FFFFFF"/>
                    <w:spacing w:before="0" w:after="0" w:line="240" w:lineRule="atLeast"/>
                    <w:ind w:firstLine="567"/>
                    <w:jc w:val="center"/>
                    <w:textAlignment w:val="baseline"/>
                    <w:rPr>
                      <w:sz w:val="28"/>
                      <w:szCs w:val="28"/>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F74BE6" w:rsidRDefault="00F74BE6" w:rsidP="009B41E8">
      <w:pPr>
        <w:ind w:firstLine="567"/>
        <w:jc w:val="both"/>
        <w:textAlignment w:val="baseline"/>
        <w:rPr>
          <w:rFonts w:ascii="Times New Roman" w:hAnsi="Times New Roman"/>
          <w:color w:val="000000"/>
          <w:sz w:val="28"/>
          <w:szCs w:val="28"/>
        </w:rPr>
      </w:pPr>
    </w:p>
    <w:p w:rsidR="00371349" w:rsidRDefault="00371349" w:rsidP="006B14AE">
      <w:pPr>
        <w:pStyle w:val="a3"/>
        <w:spacing w:before="0" w:beforeAutospacing="0" w:after="0" w:afterAutospacing="0"/>
        <w:ind w:firstLine="680"/>
        <w:jc w:val="both"/>
        <w:rPr>
          <w:color w:val="000000"/>
        </w:rPr>
      </w:pPr>
    </w:p>
    <w:p w:rsidR="00371349" w:rsidRDefault="00371349" w:rsidP="00371349">
      <w:pPr>
        <w:spacing w:after="0"/>
        <w:ind w:firstLine="567"/>
        <w:jc w:val="both"/>
        <w:rPr>
          <w:rFonts w:ascii="Times New Roman" w:hAnsi="Times New Roman"/>
          <w:color w:val="000000"/>
          <w:sz w:val="24"/>
          <w:szCs w:val="24"/>
        </w:rPr>
      </w:pPr>
    </w:p>
    <w:p w:rsidR="00553759" w:rsidRPr="00553759" w:rsidRDefault="00B745DB" w:rsidP="00553759">
      <w:pPr>
        <w:shd w:val="clear" w:color="auto" w:fill="FFFFFF"/>
        <w:spacing w:after="0"/>
        <w:ind w:firstLine="567"/>
        <w:jc w:val="both"/>
        <w:textAlignment w:val="baseline"/>
        <w:rPr>
          <w:rFonts w:ascii="Times New Roman" w:hAnsi="Times New Roman"/>
          <w:color w:val="000000"/>
          <w:sz w:val="28"/>
          <w:szCs w:val="28"/>
          <w:lang w:eastAsia="uk-UA"/>
        </w:rPr>
      </w:pPr>
      <w:proofErr w:type="spellStart"/>
      <w:r w:rsidRPr="00553759">
        <w:rPr>
          <w:rFonts w:ascii="Times New Roman" w:hAnsi="Times New Roman"/>
          <w:color w:val="000000"/>
          <w:sz w:val="28"/>
          <w:szCs w:val="28"/>
        </w:rPr>
        <w:t>Турківська</w:t>
      </w:r>
      <w:proofErr w:type="spellEnd"/>
      <w:r w:rsidRPr="00553759">
        <w:rPr>
          <w:rFonts w:ascii="Times New Roman" w:hAnsi="Times New Roman"/>
          <w:color w:val="000000"/>
          <w:sz w:val="28"/>
          <w:szCs w:val="28"/>
        </w:rPr>
        <w:t xml:space="preserve"> ДПІ </w:t>
      </w:r>
      <w:r w:rsidR="001B0C7D" w:rsidRPr="00553759">
        <w:rPr>
          <w:rFonts w:ascii="Times New Roman" w:hAnsi="Times New Roman"/>
          <w:color w:val="000000"/>
          <w:sz w:val="28"/>
          <w:szCs w:val="28"/>
          <w:lang w:eastAsia="uk-UA"/>
        </w:rPr>
        <w:t xml:space="preserve">інформує, </w:t>
      </w:r>
      <w:r w:rsidR="00553759" w:rsidRPr="00553759">
        <w:rPr>
          <w:rFonts w:ascii="Times New Roman" w:hAnsi="Times New Roman"/>
          <w:color w:val="000000"/>
          <w:sz w:val="28"/>
          <w:szCs w:val="28"/>
          <w:lang w:eastAsia="uk-UA"/>
        </w:rPr>
        <w:t xml:space="preserve">що відповідно до </w:t>
      </w:r>
      <w:proofErr w:type="spellStart"/>
      <w:r w:rsidR="00553759" w:rsidRPr="00553759">
        <w:rPr>
          <w:rFonts w:ascii="Times New Roman" w:hAnsi="Times New Roman"/>
          <w:color w:val="000000"/>
          <w:sz w:val="28"/>
          <w:szCs w:val="28"/>
          <w:lang w:eastAsia="uk-UA"/>
        </w:rPr>
        <w:t>п.п</w:t>
      </w:r>
      <w:proofErr w:type="spellEnd"/>
      <w:r w:rsidR="00553759" w:rsidRPr="00553759">
        <w:rPr>
          <w:rFonts w:ascii="Times New Roman" w:hAnsi="Times New Roman"/>
          <w:color w:val="000000"/>
          <w:sz w:val="28"/>
          <w:szCs w:val="28"/>
          <w:lang w:eastAsia="uk-UA"/>
        </w:rPr>
        <w:t>. 266.7.3 п. 266.7 ст. 266 Податкового кодексу України (далі - ПКУ) платники податку на нерухоме майно, відмінне від земельної ділянки, мають право звернутися з письмовою заявою до контролюючого органу за своєю податковою адресою для проведення звірки даних щодо:</w:t>
      </w:r>
    </w:p>
    <w:p w:rsidR="00553759" w:rsidRPr="00553759" w:rsidRDefault="00553759" w:rsidP="00553759">
      <w:pPr>
        <w:shd w:val="clear" w:color="auto" w:fill="FFFFFF"/>
        <w:spacing w:after="0"/>
        <w:ind w:firstLine="567"/>
        <w:jc w:val="both"/>
        <w:textAlignment w:val="baseline"/>
        <w:rPr>
          <w:rFonts w:ascii="Times New Roman" w:hAnsi="Times New Roman"/>
          <w:color w:val="000000"/>
          <w:sz w:val="28"/>
          <w:szCs w:val="28"/>
          <w:lang w:eastAsia="uk-UA"/>
        </w:rPr>
      </w:pPr>
      <w:r w:rsidRPr="00553759">
        <w:rPr>
          <w:rFonts w:ascii="Times New Roman" w:hAnsi="Times New Roman"/>
          <w:color w:val="000000"/>
          <w:sz w:val="28"/>
          <w:szCs w:val="28"/>
          <w:lang w:eastAsia="uk-UA"/>
        </w:rPr>
        <w:t>- об’єктів житлової та/або нежитлової нерухомості, в тому числі їх часток, що перебувають у власності платника податку;  </w:t>
      </w:r>
    </w:p>
    <w:p w:rsidR="00553759" w:rsidRPr="00553759" w:rsidRDefault="00553759" w:rsidP="00553759">
      <w:pPr>
        <w:shd w:val="clear" w:color="auto" w:fill="FFFFFF"/>
        <w:spacing w:after="0"/>
        <w:ind w:firstLine="567"/>
        <w:jc w:val="both"/>
        <w:textAlignment w:val="baseline"/>
        <w:rPr>
          <w:rFonts w:ascii="Times New Roman" w:hAnsi="Times New Roman"/>
          <w:color w:val="000000"/>
          <w:sz w:val="28"/>
          <w:szCs w:val="28"/>
          <w:lang w:eastAsia="uk-UA"/>
        </w:rPr>
      </w:pPr>
      <w:r w:rsidRPr="00553759">
        <w:rPr>
          <w:rFonts w:ascii="Times New Roman" w:hAnsi="Times New Roman"/>
          <w:color w:val="000000"/>
          <w:sz w:val="28"/>
          <w:szCs w:val="28"/>
          <w:lang w:eastAsia="uk-UA"/>
        </w:rPr>
        <w:t>- розміру загальної площі об’єктів житлової та/або нежитлової нерухомості, що перебувають у власності платника податку;  </w:t>
      </w:r>
    </w:p>
    <w:p w:rsidR="00553759" w:rsidRPr="00553759" w:rsidRDefault="00553759" w:rsidP="00553759">
      <w:pPr>
        <w:shd w:val="clear" w:color="auto" w:fill="FFFFFF"/>
        <w:spacing w:after="0"/>
        <w:ind w:firstLine="567"/>
        <w:jc w:val="both"/>
        <w:textAlignment w:val="baseline"/>
        <w:rPr>
          <w:rFonts w:ascii="Times New Roman" w:hAnsi="Times New Roman"/>
          <w:color w:val="000000"/>
          <w:sz w:val="28"/>
          <w:szCs w:val="28"/>
          <w:lang w:eastAsia="uk-UA"/>
        </w:rPr>
      </w:pPr>
      <w:r w:rsidRPr="00553759">
        <w:rPr>
          <w:rFonts w:ascii="Times New Roman" w:hAnsi="Times New Roman"/>
          <w:color w:val="000000"/>
          <w:sz w:val="28"/>
          <w:szCs w:val="28"/>
          <w:lang w:eastAsia="uk-UA"/>
        </w:rPr>
        <w:t>- права на користування пільгою із сплати податку;  </w:t>
      </w:r>
    </w:p>
    <w:p w:rsidR="00553759" w:rsidRPr="00553759" w:rsidRDefault="00553759" w:rsidP="00553759">
      <w:pPr>
        <w:shd w:val="clear" w:color="auto" w:fill="FFFFFF"/>
        <w:spacing w:after="0"/>
        <w:ind w:firstLine="567"/>
        <w:jc w:val="both"/>
        <w:textAlignment w:val="baseline"/>
        <w:rPr>
          <w:rFonts w:ascii="Times New Roman" w:hAnsi="Times New Roman"/>
          <w:color w:val="000000"/>
          <w:sz w:val="28"/>
          <w:szCs w:val="28"/>
          <w:lang w:eastAsia="uk-UA"/>
        </w:rPr>
      </w:pPr>
      <w:r w:rsidRPr="00553759">
        <w:rPr>
          <w:rFonts w:ascii="Times New Roman" w:hAnsi="Times New Roman"/>
          <w:color w:val="000000"/>
          <w:sz w:val="28"/>
          <w:szCs w:val="28"/>
          <w:lang w:eastAsia="uk-UA"/>
        </w:rPr>
        <w:t>- розміру ставки податку;</w:t>
      </w:r>
    </w:p>
    <w:p w:rsidR="00553759" w:rsidRPr="00553759" w:rsidRDefault="00553759" w:rsidP="00553759">
      <w:pPr>
        <w:shd w:val="clear" w:color="auto" w:fill="FFFFFF"/>
        <w:spacing w:after="0"/>
        <w:ind w:firstLine="567"/>
        <w:jc w:val="both"/>
        <w:textAlignment w:val="baseline"/>
        <w:rPr>
          <w:rFonts w:ascii="Times New Roman" w:hAnsi="Times New Roman"/>
          <w:color w:val="000000"/>
          <w:sz w:val="28"/>
          <w:szCs w:val="28"/>
          <w:lang w:eastAsia="uk-UA"/>
        </w:rPr>
      </w:pPr>
      <w:r w:rsidRPr="00553759">
        <w:rPr>
          <w:rFonts w:ascii="Times New Roman" w:hAnsi="Times New Roman"/>
          <w:color w:val="000000"/>
          <w:sz w:val="28"/>
          <w:szCs w:val="28"/>
          <w:lang w:eastAsia="uk-UA"/>
        </w:rPr>
        <w:t>- нарахованої суми податку.</w:t>
      </w:r>
    </w:p>
    <w:p w:rsidR="00553759" w:rsidRPr="00553759" w:rsidRDefault="00553759" w:rsidP="00553759">
      <w:pPr>
        <w:shd w:val="clear" w:color="auto" w:fill="FFFFFF"/>
        <w:spacing w:after="0"/>
        <w:ind w:firstLine="567"/>
        <w:jc w:val="both"/>
        <w:textAlignment w:val="baseline"/>
        <w:rPr>
          <w:rFonts w:ascii="Times New Roman" w:hAnsi="Times New Roman"/>
          <w:color w:val="000000"/>
          <w:sz w:val="28"/>
          <w:szCs w:val="28"/>
          <w:lang w:eastAsia="uk-UA"/>
        </w:rPr>
      </w:pPr>
      <w:r w:rsidRPr="00553759">
        <w:rPr>
          <w:rFonts w:ascii="Times New Roman" w:hAnsi="Times New Roman"/>
          <w:color w:val="000000"/>
          <w:sz w:val="28"/>
          <w:szCs w:val="28"/>
          <w:lang w:eastAsia="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податковою адресою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  </w:t>
      </w:r>
    </w:p>
    <w:p w:rsidR="00553759" w:rsidRPr="00553759" w:rsidRDefault="00553759" w:rsidP="00553759">
      <w:pPr>
        <w:shd w:val="clear" w:color="auto" w:fill="FFFFFF"/>
        <w:spacing w:after="0"/>
        <w:ind w:firstLine="567"/>
        <w:jc w:val="both"/>
        <w:textAlignment w:val="baseline"/>
        <w:rPr>
          <w:rFonts w:ascii="Times New Roman" w:hAnsi="Times New Roman"/>
          <w:color w:val="000000"/>
          <w:sz w:val="28"/>
          <w:szCs w:val="28"/>
          <w:lang w:eastAsia="uk-UA"/>
        </w:rPr>
      </w:pPr>
      <w:r w:rsidRPr="00553759">
        <w:rPr>
          <w:rFonts w:ascii="Times New Roman" w:hAnsi="Times New Roman"/>
          <w:color w:val="000000"/>
          <w:sz w:val="28"/>
          <w:szCs w:val="28"/>
          <w:lang w:eastAsia="uk-UA"/>
        </w:rPr>
        <w:t xml:space="preserve">Згідно з абзацом другим </w:t>
      </w:r>
      <w:proofErr w:type="spellStart"/>
      <w:r w:rsidRPr="00553759">
        <w:rPr>
          <w:rFonts w:ascii="Times New Roman" w:hAnsi="Times New Roman"/>
          <w:color w:val="000000"/>
          <w:sz w:val="28"/>
          <w:szCs w:val="28"/>
          <w:lang w:eastAsia="uk-UA"/>
        </w:rPr>
        <w:t>п.п</w:t>
      </w:r>
      <w:proofErr w:type="spellEnd"/>
      <w:r w:rsidRPr="00553759">
        <w:rPr>
          <w:rFonts w:ascii="Times New Roman" w:hAnsi="Times New Roman"/>
          <w:color w:val="000000"/>
          <w:sz w:val="28"/>
          <w:szCs w:val="28"/>
          <w:lang w:eastAsia="uk-UA"/>
        </w:rPr>
        <w:t>. 266.7.4 п. 266.7 ст. 266 ПКУ у разі подання платником податку контролюючому органу правовстановлюючих документів на нерухоме майно, відомості про яке відсутні у базі даних інформаційних систем центрального органу виконавчої влади, що реалізує державну податкову політику, сплата податку фізичними особами здійснюється на підставі поданих платником податку відомостей до отримання контролюючим органом відомостей від органів державної реєстрації прав на нерухоме майно про перехід права власності на об’єкт оподаткування.  </w:t>
      </w:r>
    </w:p>
    <w:p w:rsidR="00553759" w:rsidRPr="00553759" w:rsidRDefault="00553759" w:rsidP="00553759">
      <w:pPr>
        <w:shd w:val="clear" w:color="auto" w:fill="FFFFFF"/>
        <w:spacing w:after="0"/>
        <w:ind w:firstLine="567"/>
        <w:jc w:val="both"/>
        <w:textAlignment w:val="baseline"/>
        <w:rPr>
          <w:rFonts w:ascii="Times New Roman" w:hAnsi="Times New Roman"/>
          <w:color w:val="000000"/>
          <w:sz w:val="28"/>
          <w:szCs w:val="28"/>
          <w:lang w:eastAsia="uk-UA"/>
        </w:rPr>
      </w:pPr>
      <w:r w:rsidRPr="00553759">
        <w:rPr>
          <w:rFonts w:ascii="Times New Roman" w:hAnsi="Times New Roman"/>
          <w:color w:val="000000"/>
          <w:sz w:val="28"/>
          <w:szCs w:val="28"/>
          <w:lang w:eastAsia="uk-UA"/>
        </w:rPr>
        <w:t xml:space="preserve">Крім того, фізичні особи, з використанням кваліфікованого електронного підпису, мають можливість переглянути сформовані податкові повідомлення-рішення щодо сум нарахованих їм податкових зобов’язань з податку на нерухоме майно, відмінне від земельної ділянки, в меню «ЕК для громадян»/розділ «Загальна інформація про платника»/вкладка «Повідомлення про обов’язок сплатити суму грошового зобов’язання (ППР)» приватної частини Електронного кабінету, вхід до якого здійснюється за адресою: http://cabinet.tax.gov.ua , а також через </w:t>
      </w:r>
      <w:proofErr w:type="spellStart"/>
      <w:r w:rsidRPr="00553759">
        <w:rPr>
          <w:rFonts w:ascii="Times New Roman" w:hAnsi="Times New Roman"/>
          <w:color w:val="000000"/>
          <w:sz w:val="28"/>
          <w:szCs w:val="28"/>
          <w:lang w:eastAsia="uk-UA"/>
        </w:rPr>
        <w:t>вебпортал</w:t>
      </w:r>
      <w:proofErr w:type="spellEnd"/>
      <w:r w:rsidRPr="00553759">
        <w:rPr>
          <w:rFonts w:ascii="Times New Roman" w:hAnsi="Times New Roman"/>
          <w:color w:val="000000"/>
          <w:sz w:val="28"/>
          <w:szCs w:val="28"/>
          <w:lang w:eastAsia="uk-UA"/>
        </w:rPr>
        <w:t xml:space="preserve"> ДПС. </w:t>
      </w:r>
    </w:p>
    <w:p w:rsidR="007505A0" w:rsidRPr="000956DC" w:rsidRDefault="007505A0" w:rsidP="001B0C7D">
      <w:pPr>
        <w:shd w:val="clear" w:color="auto" w:fill="FFFFFF"/>
        <w:spacing w:after="240"/>
        <w:ind w:firstLine="567"/>
        <w:jc w:val="both"/>
        <w:textAlignment w:val="baseline"/>
        <w:rPr>
          <w:sz w:val="28"/>
          <w:szCs w:val="28"/>
        </w:rPr>
      </w:pPr>
    </w:p>
    <w:sectPr w:rsidR="007505A0" w:rsidRPr="000956DC"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956DC"/>
    <w:rsid w:val="000A0B1B"/>
    <w:rsid w:val="000E2499"/>
    <w:rsid w:val="0010756D"/>
    <w:rsid w:val="0013571F"/>
    <w:rsid w:val="00157C2E"/>
    <w:rsid w:val="0019224D"/>
    <w:rsid w:val="00194AD2"/>
    <w:rsid w:val="00197792"/>
    <w:rsid w:val="001B0C7D"/>
    <w:rsid w:val="001D5F41"/>
    <w:rsid w:val="001D669A"/>
    <w:rsid w:val="001D7FBB"/>
    <w:rsid w:val="001F2060"/>
    <w:rsid w:val="00203F79"/>
    <w:rsid w:val="00210CF3"/>
    <w:rsid w:val="00265979"/>
    <w:rsid w:val="00292E56"/>
    <w:rsid w:val="002D66A0"/>
    <w:rsid w:val="00323D28"/>
    <w:rsid w:val="00345F8C"/>
    <w:rsid w:val="00350E6B"/>
    <w:rsid w:val="00353D2D"/>
    <w:rsid w:val="003609D3"/>
    <w:rsid w:val="00371349"/>
    <w:rsid w:val="003C57DA"/>
    <w:rsid w:val="003D07DE"/>
    <w:rsid w:val="0041581B"/>
    <w:rsid w:val="0044142E"/>
    <w:rsid w:val="004539F9"/>
    <w:rsid w:val="00455177"/>
    <w:rsid w:val="004907EF"/>
    <w:rsid w:val="004D301E"/>
    <w:rsid w:val="004F6D40"/>
    <w:rsid w:val="00506F76"/>
    <w:rsid w:val="00534597"/>
    <w:rsid w:val="00542B28"/>
    <w:rsid w:val="00553759"/>
    <w:rsid w:val="00585EA0"/>
    <w:rsid w:val="005B5B0B"/>
    <w:rsid w:val="005D47ED"/>
    <w:rsid w:val="005E718B"/>
    <w:rsid w:val="00625028"/>
    <w:rsid w:val="00625FAF"/>
    <w:rsid w:val="00626D57"/>
    <w:rsid w:val="00651A77"/>
    <w:rsid w:val="0067667D"/>
    <w:rsid w:val="006B030F"/>
    <w:rsid w:val="006B14AE"/>
    <w:rsid w:val="006C46A8"/>
    <w:rsid w:val="006D5E11"/>
    <w:rsid w:val="0072004A"/>
    <w:rsid w:val="0074073F"/>
    <w:rsid w:val="00744E9F"/>
    <w:rsid w:val="007505A0"/>
    <w:rsid w:val="0075210B"/>
    <w:rsid w:val="00757CCC"/>
    <w:rsid w:val="00773643"/>
    <w:rsid w:val="00781896"/>
    <w:rsid w:val="007B7B78"/>
    <w:rsid w:val="00830890"/>
    <w:rsid w:val="008A0452"/>
    <w:rsid w:val="008C022C"/>
    <w:rsid w:val="008C6AF8"/>
    <w:rsid w:val="008F2E7A"/>
    <w:rsid w:val="008F391D"/>
    <w:rsid w:val="00917751"/>
    <w:rsid w:val="009B227B"/>
    <w:rsid w:val="009B41E8"/>
    <w:rsid w:val="009E17AA"/>
    <w:rsid w:val="009F35C3"/>
    <w:rsid w:val="00A35952"/>
    <w:rsid w:val="00AB3F6E"/>
    <w:rsid w:val="00AB6E31"/>
    <w:rsid w:val="00AE65BD"/>
    <w:rsid w:val="00B162AA"/>
    <w:rsid w:val="00B5427F"/>
    <w:rsid w:val="00B665DF"/>
    <w:rsid w:val="00B745DB"/>
    <w:rsid w:val="00C42171"/>
    <w:rsid w:val="00C67E62"/>
    <w:rsid w:val="00C72E0B"/>
    <w:rsid w:val="00C82BCC"/>
    <w:rsid w:val="00CC490C"/>
    <w:rsid w:val="00CC4EDC"/>
    <w:rsid w:val="00CD5423"/>
    <w:rsid w:val="00D124BC"/>
    <w:rsid w:val="00D17710"/>
    <w:rsid w:val="00D40272"/>
    <w:rsid w:val="00D4533B"/>
    <w:rsid w:val="00D860CE"/>
    <w:rsid w:val="00D93C05"/>
    <w:rsid w:val="00D95FFD"/>
    <w:rsid w:val="00DC168C"/>
    <w:rsid w:val="00E11100"/>
    <w:rsid w:val="00E1192A"/>
    <w:rsid w:val="00E11E95"/>
    <w:rsid w:val="00E6112B"/>
    <w:rsid w:val="00E720E5"/>
    <w:rsid w:val="00E75D2F"/>
    <w:rsid w:val="00EC10AC"/>
    <w:rsid w:val="00F02E07"/>
    <w:rsid w:val="00F33D5B"/>
    <w:rsid w:val="00F44C77"/>
    <w:rsid w:val="00F74BE6"/>
    <w:rsid w:val="00F75FB3"/>
    <w:rsid w:val="00F956E1"/>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1398</Words>
  <Characters>798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2024-07-30T12:19:00Z</dcterms:created>
  <dcterms:modified xsi:type="dcterms:W3CDTF">2024-07-30T12:19:00Z</dcterms:modified>
</cp:coreProperties>
</file>