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A73" w:rsidRPr="00BD14C0" w:rsidRDefault="00E31A73">
      <w:pPr>
        <w:pStyle w:val="a3"/>
        <w:rPr>
          <w:lang w:val="en-US"/>
        </w:rPr>
      </w:pPr>
    </w:p>
    <w:tbl>
      <w:tblPr>
        <w:tblStyle w:val="TableNormal"/>
        <w:tblpPr w:leftFromText="180" w:rightFromText="180" w:vertAnchor="text" w:tblpX="115" w:tblpY="1"/>
        <w:tblOverlap w:val="never"/>
        <w:tblW w:w="10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1"/>
        <w:gridCol w:w="3006"/>
        <w:gridCol w:w="7371"/>
      </w:tblGrid>
      <w:tr w:rsidR="00E31A73" w:rsidRPr="00BD14C0" w:rsidTr="00BD14C0">
        <w:trPr>
          <w:trHeight w:val="699"/>
        </w:trPr>
        <w:tc>
          <w:tcPr>
            <w:tcW w:w="10778" w:type="dxa"/>
            <w:gridSpan w:val="3"/>
          </w:tcPr>
          <w:p w:rsidR="00E31A73" w:rsidRPr="00BD14C0" w:rsidRDefault="00645EF6" w:rsidP="00A84966">
            <w:pPr>
              <w:pStyle w:val="TableParagraph"/>
              <w:spacing w:before="1" w:line="368" w:lineRule="exact"/>
              <w:ind w:left="269" w:right="269"/>
              <w:jc w:val="center"/>
            </w:pPr>
            <w:r w:rsidRPr="00BD14C0">
              <w:t>Обґрунтування технічних та якісних характеристик</w:t>
            </w:r>
          </w:p>
          <w:p w:rsidR="00E31A73" w:rsidRPr="00BD14C0" w:rsidRDefault="00645EF6" w:rsidP="00A84966">
            <w:pPr>
              <w:pStyle w:val="TableParagraph"/>
              <w:ind w:left="269" w:right="269"/>
              <w:jc w:val="center"/>
              <w:rPr>
                <w:b/>
              </w:rPr>
            </w:pPr>
            <w:r w:rsidRPr="00BD14C0">
              <w:t>предмета закупівлі, розміру бюджетного призначення, очікуваної вартості предмета закупівлі</w:t>
            </w:r>
          </w:p>
        </w:tc>
      </w:tr>
      <w:tr w:rsidR="00E31A73" w:rsidRPr="00BD14C0" w:rsidTr="00BD14C0">
        <w:trPr>
          <w:trHeight w:val="948"/>
        </w:trPr>
        <w:tc>
          <w:tcPr>
            <w:tcW w:w="401" w:type="dxa"/>
          </w:tcPr>
          <w:p w:rsidR="00E31A73" w:rsidRPr="00BD14C0" w:rsidRDefault="00645EF6" w:rsidP="00A84966">
            <w:pPr>
              <w:pStyle w:val="TableParagraph"/>
              <w:spacing w:line="320" w:lineRule="exact"/>
              <w:ind w:left="107"/>
            </w:pPr>
            <w:r w:rsidRPr="00BD14C0">
              <w:t>1</w:t>
            </w:r>
          </w:p>
        </w:tc>
        <w:tc>
          <w:tcPr>
            <w:tcW w:w="3006" w:type="dxa"/>
          </w:tcPr>
          <w:p w:rsidR="00E31A73" w:rsidRPr="00BD14C0" w:rsidRDefault="00645EF6" w:rsidP="00D16ABD">
            <w:pPr>
              <w:pStyle w:val="TableParagraph"/>
              <w:ind w:left="108" w:right="839"/>
            </w:pPr>
            <w:r w:rsidRPr="00BD14C0">
              <w:t xml:space="preserve">Назва предмета закупівлі </w:t>
            </w:r>
          </w:p>
        </w:tc>
        <w:tc>
          <w:tcPr>
            <w:tcW w:w="7371" w:type="dxa"/>
          </w:tcPr>
          <w:p w:rsidR="004D3496" w:rsidRPr="00BD14C0" w:rsidRDefault="004D3496" w:rsidP="00F2549A">
            <w:pPr>
              <w:pStyle w:val="TableParagraph"/>
              <w:ind w:left="0"/>
              <w:rPr>
                <w:b/>
                <w:lang w:val="en-US"/>
              </w:rPr>
            </w:pPr>
            <w:r w:rsidRPr="00BD14C0">
              <w:rPr>
                <w:rFonts w:eastAsia="Calibri"/>
                <w:b/>
              </w:rPr>
              <w:t>Придбання приводу автоматичних дверей з монтажем</w:t>
            </w:r>
          </w:p>
          <w:p w:rsidR="004D3496" w:rsidRPr="00BD14C0" w:rsidRDefault="004D3496" w:rsidP="009F2C0D">
            <w:pPr>
              <w:pStyle w:val="TableParagraph"/>
              <w:ind w:left="0"/>
              <w:rPr>
                <w:rFonts w:eastAsia="Calibri"/>
                <w:b/>
                <w:color w:val="FF0000"/>
                <w:lang w:val="en-US"/>
              </w:rPr>
            </w:pPr>
            <w:r w:rsidRPr="00BD14C0">
              <w:rPr>
                <w:rFonts w:eastAsia="Calibri"/>
                <w:b/>
              </w:rPr>
              <w:t>ДК 021:2015: 44220000-8 — Столярні вироби</w:t>
            </w:r>
          </w:p>
          <w:p w:rsidR="00BD734A" w:rsidRPr="00BD14C0" w:rsidRDefault="00AC2766" w:rsidP="009F2C0D">
            <w:pPr>
              <w:pStyle w:val="TableParagraph"/>
              <w:ind w:left="0"/>
              <w:rPr>
                <w:b/>
                <w:spacing w:val="-4"/>
                <w:highlight w:val="yellow"/>
                <w:lang w:val="en-US"/>
              </w:rPr>
            </w:pPr>
            <w:r w:rsidRPr="00BD14C0">
              <w:rPr>
                <w:b/>
              </w:rPr>
              <w:t xml:space="preserve">Ідентифікатор закупівлі </w:t>
            </w:r>
            <w:r w:rsidRPr="00BD14C0">
              <w:rPr>
                <w:b/>
                <w:lang w:val="en-US"/>
              </w:rPr>
              <w:t>UA</w:t>
            </w:r>
            <w:r w:rsidR="004D3496" w:rsidRPr="00BD14C0">
              <w:rPr>
                <w:b/>
                <w:lang w:val="en-US"/>
              </w:rPr>
              <w:t>-2026-02-20</w:t>
            </w:r>
            <w:r w:rsidR="00247C8C" w:rsidRPr="00BD14C0">
              <w:rPr>
                <w:b/>
                <w:lang w:val="en-US"/>
              </w:rPr>
              <w:t>-0</w:t>
            </w:r>
            <w:r w:rsidR="004D3496" w:rsidRPr="00BD14C0">
              <w:rPr>
                <w:b/>
                <w:lang w:val="en-US"/>
              </w:rPr>
              <w:t>03403</w:t>
            </w:r>
            <w:r w:rsidR="00AD5634" w:rsidRPr="00BD14C0">
              <w:rPr>
                <w:b/>
                <w:lang w:val="en-US"/>
              </w:rPr>
              <w:t>-a</w:t>
            </w:r>
          </w:p>
        </w:tc>
      </w:tr>
      <w:tr w:rsidR="00E31A73" w:rsidRPr="00BD14C0" w:rsidTr="00BD14C0">
        <w:trPr>
          <w:trHeight w:val="70"/>
        </w:trPr>
        <w:tc>
          <w:tcPr>
            <w:tcW w:w="401" w:type="dxa"/>
          </w:tcPr>
          <w:p w:rsidR="00E31A73" w:rsidRPr="00BD14C0" w:rsidRDefault="00645EF6" w:rsidP="00A84966">
            <w:pPr>
              <w:pStyle w:val="TableParagraph"/>
              <w:ind w:left="107"/>
            </w:pPr>
            <w:r w:rsidRPr="00BD14C0">
              <w:t>2</w:t>
            </w:r>
          </w:p>
        </w:tc>
        <w:tc>
          <w:tcPr>
            <w:tcW w:w="3006" w:type="dxa"/>
          </w:tcPr>
          <w:p w:rsidR="00E31A73" w:rsidRPr="00BD14C0" w:rsidRDefault="00645EF6" w:rsidP="00A84966">
            <w:pPr>
              <w:pStyle w:val="TableParagraph"/>
              <w:ind w:left="108" w:right="450"/>
            </w:pPr>
            <w:r w:rsidRPr="00BD14C0">
              <w:t>Обґрунтування технічних та якісних характеристик предмета закупівлі</w:t>
            </w:r>
          </w:p>
        </w:tc>
        <w:tc>
          <w:tcPr>
            <w:tcW w:w="7371" w:type="dxa"/>
          </w:tcPr>
          <w:p w:rsidR="00BD14C0" w:rsidRPr="00BD14C0" w:rsidRDefault="00BD14C0" w:rsidP="00BD14C0">
            <w:pPr>
              <w:contextualSpacing/>
              <w:jc w:val="center"/>
              <w:rPr>
                <w:b/>
                <w:bCs/>
              </w:rPr>
            </w:pPr>
            <w:r w:rsidRPr="00BD14C0">
              <w:rPr>
                <w:b/>
                <w:bCs/>
              </w:rPr>
              <w:t>Технічна специфікація</w:t>
            </w:r>
          </w:p>
          <w:p w:rsidR="00BD14C0" w:rsidRPr="00BD14C0" w:rsidRDefault="00BD14C0" w:rsidP="00BD14C0">
            <w:pPr>
              <w:contextualSpacing/>
              <w:jc w:val="center"/>
              <w:rPr>
                <w:b/>
                <w:bCs/>
              </w:rPr>
            </w:pPr>
            <w:r w:rsidRPr="00BD14C0">
              <w:rPr>
                <w:b/>
                <w:bCs/>
              </w:rPr>
              <w:t>на закупівлю:</w:t>
            </w:r>
          </w:p>
          <w:p w:rsidR="00BD14C0" w:rsidRPr="00BD14C0" w:rsidRDefault="00BD14C0" w:rsidP="00BD14C0">
            <w:pPr>
              <w:widowControl/>
              <w:numPr>
                <w:ilvl w:val="0"/>
                <w:numId w:val="4"/>
              </w:numPr>
              <w:autoSpaceDE/>
              <w:autoSpaceDN/>
              <w:ind w:left="0" w:right="141" w:firstLine="283"/>
              <w:contextualSpacing/>
              <w:jc w:val="both"/>
              <w:rPr>
                <w:shd w:val="clear" w:color="auto" w:fill="FFFFFF"/>
              </w:rPr>
            </w:pPr>
            <w:r w:rsidRPr="00BD14C0">
              <w:t xml:space="preserve">Товар, який буде запропонований Учасником у складі пропозиції повинен бути сумісним із дверима </w:t>
            </w:r>
            <w:proofErr w:type="spellStart"/>
            <w:r w:rsidRPr="00BD14C0">
              <w:rPr>
                <w:shd w:val="clear" w:color="auto" w:fill="FFFFFF"/>
              </w:rPr>
              <w:t>Manusa</w:t>
            </w:r>
            <w:proofErr w:type="spellEnd"/>
            <w:r w:rsidRPr="00BD14C0">
              <w:rPr>
                <w:shd w:val="clear" w:color="auto" w:fill="FFFFFF"/>
              </w:rPr>
              <w:t xml:space="preserve"> Visio 125, які встановлені в установі замовника (</w:t>
            </w:r>
            <w:r w:rsidRPr="00BD14C0">
              <w:rPr>
                <w:i/>
                <w:iCs/>
                <w:shd w:val="clear" w:color="auto" w:fill="FFFFFF"/>
              </w:rPr>
              <w:t>на підтвердження сумісності надати у складі пропозиції гарантійний лист</w:t>
            </w:r>
            <w:r w:rsidRPr="00BD14C0">
              <w:rPr>
                <w:shd w:val="clear" w:color="auto" w:fill="FFFFFF"/>
              </w:rPr>
              <w:t>) .</w:t>
            </w:r>
          </w:p>
          <w:p w:rsidR="00BD14C0" w:rsidRPr="0012237E" w:rsidRDefault="00BD14C0" w:rsidP="00BD14C0">
            <w:pPr>
              <w:widowControl/>
              <w:numPr>
                <w:ilvl w:val="0"/>
                <w:numId w:val="4"/>
              </w:numPr>
              <w:autoSpaceDE/>
              <w:autoSpaceDN/>
              <w:ind w:left="0" w:right="141" w:firstLine="283"/>
              <w:contextualSpacing/>
              <w:jc w:val="both"/>
              <w:rPr>
                <w:shd w:val="clear" w:color="auto" w:fill="FFFFFF"/>
              </w:rPr>
            </w:pPr>
            <w:r w:rsidRPr="00BD14C0">
              <w:rPr>
                <w:shd w:val="clear" w:color="auto" w:fill="FFFFFF"/>
              </w:rPr>
              <w:t xml:space="preserve">Всі комплектуючі повинні бути новими, справними і такими що не </w:t>
            </w:r>
            <w:r w:rsidRPr="0012237E">
              <w:rPr>
                <w:shd w:val="clear" w:color="auto" w:fill="FFFFFF"/>
              </w:rPr>
              <w:t>були у користуванні (</w:t>
            </w:r>
            <w:r w:rsidRPr="0012237E">
              <w:rPr>
                <w:i/>
                <w:iCs/>
                <w:shd w:val="clear" w:color="auto" w:fill="FFFFFF"/>
              </w:rPr>
              <w:t>підтверджується шляхом подання у складі пропозиції гарантійного листа</w:t>
            </w:r>
            <w:r w:rsidRPr="0012237E">
              <w:rPr>
                <w:shd w:val="clear" w:color="auto" w:fill="FFFFFF"/>
              </w:rPr>
              <w:t>)</w:t>
            </w:r>
          </w:p>
          <w:p w:rsidR="00BD14C0" w:rsidRPr="0012237E" w:rsidRDefault="00BD14C0" w:rsidP="00BD14C0">
            <w:pPr>
              <w:widowControl/>
              <w:numPr>
                <w:ilvl w:val="0"/>
                <w:numId w:val="4"/>
              </w:numPr>
              <w:autoSpaceDE/>
              <w:autoSpaceDN/>
              <w:ind w:left="0" w:right="141" w:firstLine="283"/>
              <w:contextualSpacing/>
              <w:jc w:val="both"/>
              <w:rPr>
                <w:shd w:val="clear" w:color="auto" w:fill="FFFFFF"/>
              </w:rPr>
            </w:pPr>
            <w:r w:rsidRPr="0012237E">
              <w:rPr>
                <w:shd w:val="clear" w:color="auto" w:fill="FFFFFF"/>
              </w:rPr>
              <w:t>В ціну пропозиції Учасника включено вартість товару, транспортування та монтаж за адресою, визначеною замовником (</w:t>
            </w:r>
            <w:r w:rsidRPr="0012237E">
              <w:rPr>
                <w:i/>
                <w:iCs/>
                <w:shd w:val="clear" w:color="auto" w:fill="FFFFFF"/>
              </w:rPr>
              <w:t>підтверджується шляхом подання у складі пропозиції гарантійного листа</w:t>
            </w:r>
            <w:r w:rsidRPr="0012237E">
              <w:rPr>
                <w:shd w:val="clear" w:color="auto" w:fill="FFFFFF"/>
              </w:rPr>
              <w:t>)</w:t>
            </w:r>
          </w:p>
          <w:p w:rsidR="00BD14C0" w:rsidRPr="00BD14C0" w:rsidRDefault="00BD14C0" w:rsidP="00BD14C0">
            <w:pPr>
              <w:widowControl/>
              <w:numPr>
                <w:ilvl w:val="0"/>
                <w:numId w:val="4"/>
              </w:numPr>
              <w:autoSpaceDE/>
              <w:autoSpaceDN/>
              <w:ind w:left="0" w:right="141" w:firstLine="283"/>
              <w:contextualSpacing/>
              <w:jc w:val="both"/>
              <w:rPr>
                <w:b/>
                <w:bCs/>
                <w:shd w:val="clear" w:color="auto" w:fill="FFFFFF"/>
              </w:rPr>
            </w:pPr>
            <w:r w:rsidRPr="0012237E">
              <w:rPr>
                <w:bCs/>
                <w:iCs/>
              </w:rPr>
              <w:t>Для підтвердження відповідності запропонованого товару технічним, кількісним та якісним вимогам, Учасник повинен надати порівняльну табличку із зазначення відповідності запропоновано товару технічним характеристикам</w:t>
            </w:r>
            <w:r w:rsidRPr="00BD14C0">
              <w:rPr>
                <w:bCs/>
                <w:iCs/>
              </w:rPr>
              <w:t>, які вимагається Замовником.</w:t>
            </w:r>
          </w:p>
          <w:p w:rsidR="008331BC" w:rsidRPr="00BD14C0" w:rsidRDefault="008331BC" w:rsidP="008331BC">
            <w:pPr>
              <w:ind w:firstLine="360"/>
              <w:contextualSpacing/>
              <w:jc w:val="both"/>
              <w:rPr>
                <w:b/>
                <w:bCs/>
                <w:color w:val="2D2C37"/>
                <w:shd w:val="clear" w:color="auto" w:fill="FFFFFF"/>
              </w:rPr>
            </w:pPr>
            <w:r w:rsidRPr="00BD14C0">
              <w:rPr>
                <w:b/>
                <w:bCs/>
                <w:color w:val="2D2C37"/>
                <w:shd w:val="clear" w:color="auto" w:fill="FFFFFF"/>
              </w:rPr>
              <w:t>Технічні вимоги до товару: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Швидкість руху стулки складає 1 м/с. Прискорення - 2 м/</w:t>
            </w:r>
            <w:proofErr w:type="spellStart"/>
            <w:r w:rsidRPr="00BD14C0">
              <w:rPr>
                <w:color w:val="2D2C37"/>
              </w:rPr>
              <w:t>с.кв</w:t>
            </w:r>
            <w:proofErr w:type="spellEnd"/>
            <w:r w:rsidRPr="00BD14C0">
              <w:rPr>
                <w:color w:val="2D2C37"/>
              </w:rPr>
              <w:t>.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 xml:space="preserve">Максимальна вага рухомих стулок : 1X160 </w:t>
            </w:r>
            <w:proofErr w:type="spellStart"/>
            <w:r w:rsidRPr="00BD14C0">
              <w:rPr>
                <w:color w:val="2D2C37"/>
              </w:rPr>
              <w:t>Kg</w:t>
            </w:r>
            <w:proofErr w:type="spellEnd"/>
            <w:r w:rsidRPr="00BD14C0">
              <w:rPr>
                <w:color w:val="2D2C37"/>
              </w:rPr>
              <w:t xml:space="preserve"> / 2x120 </w:t>
            </w:r>
            <w:proofErr w:type="spellStart"/>
            <w:r w:rsidRPr="00BD14C0">
              <w:rPr>
                <w:color w:val="2D2C37"/>
              </w:rPr>
              <w:t>Kg</w:t>
            </w:r>
            <w:proofErr w:type="spellEnd"/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Живлення: 220-240 V +/-6% 50-60 </w:t>
            </w:r>
            <w:proofErr w:type="spellStart"/>
            <w:r w:rsidRPr="00BD14C0">
              <w:rPr>
                <w:color w:val="2D2C37"/>
              </w:rPr>
              <w:t>Hz</w:t>
            </w:r>
            <w:proofErr w:type="spellEnd"/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Робоча температура: -15ºC / 50ºC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Технологія VVVF - швидкість руху стулок та сила закриття регулюються окремо.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Редуктор відсутній - пряма передача зусилля на ремінь.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Два асинхронні трифазні двигуни (2х250 W) змінного струму, керуються інвертором.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Ролики діаметром 57 мм розраховані на 2.5млн циклів.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 xml:space="preserve">Магнітний </w:t>
            </w:r>
            <w:proofErr w:type="spellStart"/>
            <w:r w:rsidRPr="00BD14C0">
              <w:rPr>
                <w:color w:val="2D2C37"/>
              </w:rPr>
              <w:t>енкодер</w:t>
            </w:r>
            <w:proofErr w:type="spellEnd"/>
            <w:r w:rsidRPr="00BD14C0">
              <w:rPr>
                <w:color w:val="2D2C37"/>
              </w:rPr>
              <w:t>.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Змінна алюмінієва ходова.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Вбудований акумулятор.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Селектор функцій,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bookmarkStart w:id="0" w:name="_GoBack"/>
            <w:bookmarkEnd w:id="0"/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Відповідність стандартам: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2014/ 35 / UE - Директива про низьку напругу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201/ 30 / UE - Директива про електромагнітну сумісність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305/ 2011 / CE - Регламент про будівельні вироби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2006/ 42 / CE - Директива про машини 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EN 16361 - Автоматичні пішохідні двері. Стандарт продукту 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EN 16005 - Автоматичні пішохідні двері. Безпека використання  </w:t>
            </w:r>
          </w:p>
          <w:p w:rsidR="008331BC" w:rsidRPr="00BD14C0" w:rsidRDefault="008331BC" w:rsidP="008331BC">
            <w:pPr>
              <w:shd w:val="clear" w:color="auto" w:fill="FFFFFF"/>
              <w:rPr>
                <w:color w:val="2D2C37"/>
              </w:rPr>
            </w:pPr>
            <w:r w:rsidRPr="00BD14C0">
              <w:rPr>
                <w:color w:val="2D2C37"/>
              </w:rPr>
              <w:t>IEC 60335-2-103 - Побутові та подібні електроприлади. Безпека. </w:t>
            </w:r>
          </w:p>
          <w:p w:rsidR="001B6197" w:rsidRPr="00BD14C0" w:rsidRDefault="008331BC" w:rsidP="005F0B98">
            <w:pPr>
              <w:shd w:val="clear" w:color="auto" w:fill="FFFFFF"/>
              <w:rPr>
                <w:color w:val="2D2C37"/>
                <w:lang w:val="en-US"/>
              </w:rPr>
            </w:pPr>
            <w:r w:rsidRPr="00BD14C0">
              <w:rPr>
                <w:color w:val="2D2C37"/>
              </w:rPr>
              <w:t>EN 12978 - Двер</w:t>
            </w:r>
            <w:r w:rsidR="005F0B98" w:rsidRPr="00BD14C0">
              <w:rPr>
                <w:color w:val="2D2C37"/>
              </w:rPr>
              <w:t>ні приводи I Пристрої виявлення</w:t>
            </w:r>
          </w:p>
        </w:tc>
      </w:tr>
      <w:tr w:rsidR="00E31A73" w:rsidRPr="00BD14C0" w:rsidTr="00BD14C0">
        <w:trPr>
          <w:trHeight w:val="1692"/>
        </w:trPr>
        <w:tc>
          <w:tcPr>
            <w:tcW w:w="401" w:type="dxa"/>
          </w:tcPr>
          <w:p w:rsidR="00E31A73" w:rsidRPr="00BD14C0" w:rsidRDefault="00645EF6" w:rsidP="00A84966">
            <w:pPr>
              <w:pStyle w:val="TableParagraph"/>
              <w:spacing w:line="320" w:lineRule="exact"/>
              <w:ind w:left="107"/>
            </w:pPr>
            <w:r w:rsidRPr="00BD14C0">
              <w:t>3</w:t>
            </w:r>
          </w:p>
        </w:tc>
        <w:tc>
          <w:tcPr>
            <w:tcW w:w="3006" w:type="dxa"/>
          </w:tcPr>
          <w:p w:rsidR="00E31A73" w:rsidRPr="00BD14C0" w:rsidRDefault="00645EF6" w:rsidP="00A84966">
            <w:pPr>
              <w:pStyle w:val="TableParagraph"/>
              <w:ind w:left="0" w:right="467"/>
            </w:pPr>
            <w:r w:rsidRPr="00BD14C0">
              <w:t>Обґрунтування очікуваної вартості предмета закупівлі, розміру бюджетного</w:t>
            </w:r>
          </w:p>
          <w:p w:rsidR="00E31A73" w:rsidRPr="00BD14C0" w:rsidRDefault="00645EF6" w:rsidP="00A84966">
            <w:pPr>
              <w:pStyle w:val="TableParagraph"/>
              <w:spacing w:line="321" w:lineRule="exact"/>
              <w:ind w:left="108"/>
            </w:pPr>
            <w:r w:rsidRPr="00BD14C0">
              <w:t>призначення</w:t>
            </w:r>
          </w:p>
        </w:tc>
        <w:tc>
          <w:tcPr>
            <w:tcW w:w="7371" w:type="dxa"/>
          </w:tcPr>
          <w:p w:rsidR="00E31A73" w:rsidRPr="00BD14C0" w:rsidRDefault="00A84966" w:rsidP="00FB2856">
            <w:pPr>
              <w:rPr>
                <w:lang w:val="en-US"/>
              </w:rPr>
            </w:pPr>
            <w:r w:rsidRPr="00BD14C0">
              <w:t xml:space="preserve">Очікувана вартість предмета закупівлі розрахована з урахуванням пункту 2 розділу ІІІ «Примірної методики визначення очікуваної вартості предмета закупівлі», затвердженої наказом Міністерства розвитку економіки, торгівлі, та сільського господарства України від 18.02.2020 року №275, на підставі закупівельних цін попередніх періодів та склала </w:t>
            </w:r>
            <w:r w:rsidR="008331BC" w:rsidRPr="00BD14C0">
              <w:rPr>
                <w:lang w:val="en-US"/>
              </w:rPr>
              <w:t xml:space="preserve"> 202385</w:t>
            </w:r>
            <w:r w:rsidR="00CA7C76" w:rsidRPr="00BD14C0">
              <w:t>,00</w:t>
            </w:r>
            <w:r w:rsidRPr="00BD14C0">
              <w:t>грн.</w:t>
            </w:r>
          </w:p>
        </w:tc>
      </w:tr>
    </w:tbl>
    <w:p w:rsidR="00E40384" w:rsidRPr="00BD14C0" w:rsidRDefault="00A84966">
      <w:r w:rsidRPr="00BD14C0">
        <w:br w:type="textWrapping" w:clear="all"/>
      </w:r>
    </w:p>
    <w:sectPr w:rsidR="00E40384" w:rsidRPr="00BD14C0" w:rsidSect="00BD14C0">
      <w:type w:val="continuous"/>
      <w:pgSz w:w="11910" w:h="16840"/>
      <w:pgMar w:top="709" w:right="780" w:bottom="280" w:left="78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366A"/>
    <w:multiLevelType w:val="hybridMultilevel"/>
    <w:tmpl w:val="48A8B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1ABD"/>
    <w:multiLevelType w:val="multilevel"/>
    <w:tmpl w:val="D6589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EF0D48"/>
    <w:multiLevelType w:val="multilevel"/>
    <w:tmpl w:val="498A9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92175"/>
    <w:multiLevelType w:val="multilevel"/>
    <w:tmpl w:val="67882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31A73"/>
    <w:rsid w:val="00061EBC"/>
    <w:rsid w:val="0007574C"/>
    <w:rsid w:val="000E70F7"/>
    <w:rsid w:val="00113165"/>
    <w:rsid w:val="0012237E"/>
    <w:rsid w:val="001B6197"/>
    <w:rsid w:val="001C40A7"/>
    <w:rsid w:val="00247C8C"/>
    <w:rsid w:val="0028290D"/>
    <w:rsid w:val="002C45F5"/>
    <w:rsid w:val="003815FE"/>
    <w:rsid w:val="0047212E"/>
    <w:rsid w:val="00484A5C"/>
    <w:rsid w:val="004A59ED"/>
    <w:rsid w:val="004D3496"/>
    <w:rsid w:val="004E73F8"/>
    <w:rsid w:val="005F0B98"/>
    <w:rsid w:val="00604B50"/>
    <w:rsid w:val="00606900"/>
    <w:rsid w:val="0060783B"/>
    <w:rsid w:val="00645EF6"/>
    <w:rsid w:val="00674E5E"/>
    <w:rsid w:val="006803ED"/>
    <w:rsid w:val="006900AF"/>
    <w:rsid w:val="006C6855"/>
    <w:rsid w:val="006E027F"/>
    <w:rsid w:val="00703473"/>
    <w:rsid w:val="0077222B"/>
    <w:rsid w:val="007E3900"/>
    <w:rsid w:val="007F6009"/>
    <w:rsid w:val="008331BC"/>
    <w:rsid w:val="009B745B"/>
    <w:rsid w:val="009C1243"/>
    <w:rsid w:val="009F2C0D"/>
    <w:rsid w:val="009F64F1"/>
    <w:rsid w:val="00A84966"/>
    <w:rsid w:val="00A87D5D"/>
    <w:rsid w:val="00AC12ED"/>
    <w:rsid w:val="00AC2766"/>
    <w:rsid w:val="00AD5634"/>
    <w:rsid w:val="00AE7077"/>
    <w:rsid w:val="00B54599"/>
    <w:rsid w:val="00B738EF"/>
    <w:rsid w:val="00B910E6"/>
    <w:rsid w:val="00B9792C"/>
    <w:rsid w:val="00BD14C0"/>
    <w:rsid w:val="00BD734A"/>
    <w:rsid w:val="00C04332"/>
    <w:rsid w:val="00CA7C76"/>
    <w:rsid w:val="00D1534C"/>
    <w:rsid w:val="00D1572F"/>
    <w:rsid w:val="00D16ABD"/>
    <w:rsid w:val="00D33964"/>
    <w:rsid w:val="00DE2EAC"/>
    <w:rsid w:val="00E31A73"/>
    <w:rsid w:val="00E40384"/>
    <w:rsid w:val="00E67D81"/>
    <w:rsid w:val="00EE29F3"/>
    <w:rsid w:val="00F2549A"/>
    <w:rsid w:val="00F3169C"/>
    <w:rsid w:val="00FB2856"/>
    <w:rsid w:val="00FB2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link w:val="a4"/>
    <w:rsid w:val="00EE29F3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34C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69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rsid w:val="00606900"/>
    <w:pPr>
      <w:spacing w:before="6"/>
    </w:pPr>
  </w:style>
  <w:style w:type="paragraph" w:styleId="a4">
    <w:name w:val="List Paragraph"/>
    <w:basedOn w:val="a"/>
    <w:link w:val="a5"/>
    <w:qFormat/>
    <w:rsid w:val="00606900"/>
  </w:style>
  <w:style w:type="paragraph" w:customStyle="1" w:styleId="TableParagraph">
    <w:name w:val="Table Paragraph"/>
    <w:basedOn w:val="a"/>
    <w:uiPriority w:val="1"/>
    <w:qFormat/>
    <w:rsid w:val="00606900"/>
    <w:pPr>
      <w:ind w:left="105"/>
    </w:pPr>
  </w:style>
  <w:style w:type="table" w:styleId="a6">
    <w:name w:val="Table Grid"/>
    <w:basedOn w:val="a1"/>
    <w:uiPriority w:val="39"/>
    <w:rsid w:val="00075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у Знак"/>
    <w:link w:val="a4"/>
    <w:rsid w:val="00EE29F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1715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Балим</dc:creator>
  <cp:lastModifiedBy>ivazhna</cp:lastModifiedBy>
  <cp:revision>2</cp:revision>
  <dcterms:created xsi:type="dcterms:W3CDTF">2026-02-23T11:32:00Z</dcterms:created>
  <dcterms:modified xsi:type="dcterms:W3CDTF">2026-02-23T11:32:00Z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2021-06-30T00:00:00Z</vt:filetime>
  </property>
</Properties>
</file>